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D2213F9">
      <w:pPr>
        <w:jc w:val="both"/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</w:pPr>
    </w:p>
    <w:p w14:paraId="5F1890FE">
      <w:pPr>
        <w:jc w:val="both"/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</w:pPr>
    </w:p>
    <w:p w14:paraId="2F0E63A8">
      <w:pPr>
        <w:jc w:val="both"/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</w:pPr>
    </w:p>
    <w:p w14:paraId="446331DA">
      <w:pPr>
        <w:jc w:val="both"/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</w:pPr>
    </w:p>
    <w:p w14:paraId="53EE5222">
      <w:pPr>
        <w:jc w:val="both"/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</w:pPr>
    </w:p>
    <w:p w14:paraId="0931BF45">
      <w:pPr>
        <w:jc w:val="both"/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</w:pPr>
    </w:p>
    <w:p w14:paraId="08BB1B20">
      <w:pPr>
        <w:jc w:val="both"/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</w:pPr>
    </w:p>
    <w:p w14:paraId="3099E5A0">
      <w:pPr>
        <w:jc w:val="both"/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</w:pPr>
    </w:p>
    <w:p w14:paraId="2BBECF57">
      <w:pPr>
        <w:jc w:val="both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</w:p>
    <w:p w14:paraId="54C0AECE">
      <w:pPr>
        <w:jc w:val="center"/>
        <w:rPr>
          <w:rFonts w:hint="eastAsia" w:ascii="黑体" w:hAnsi="黑体" w:eastAsia="黑体" w:cs="黑体"/>
          <w:b/>
          <w:bCs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  <w:t>《开心消消乐》系统拆解文档</w:t>
      </w:r>
    </w:p>
    <w:p w14:paraId="637EB399">
      <w:pPr>
        <w:jc w:val="center"/>
        <w:rPr>
          <w:rFonts w:hint="eastAsia" w:ascii="黑体" w:hAnsi="黑体" w:eastAsia="黑体" w:cs="黑体"/>
          <w:b/>
          <w:bCs/>
          <w:color w:val="000000" w:themeColor="text1"/>
          <w:sz w:val="52"/>
          <w:szCs w:val="52"/>
          <w:lang w:val="en-US" w:eastAsia="zh-CN"/>
          <w14:textFill>
            <w14:gradFill>
              <w14:gsLst>
                <w14:gs w14:pos="50000">
                  <w14:srgbClr w14:val="1F5FBF"/>
                </w14:gs>
                <w14:gs w14:pos="0">
                  <w14:srgbClr w14:val="1486CB"/>
                </w14:gs>
                <w14:gs w14:pos="100000">
                  <w14:srgbClr w14:val="2A34B2"/>
                </w14:gs>
              </w14:gsLst>
              <w14:lin w14:ang="5400000" w14:scaled="1"/>
            </w14:gradFill>
          </w14:textFill>
        </w:rPr>
      </w:pPr>
    </w:p>
    <w:p w14:paraId="1CCAB196">
      <w:pPr>
        <w:jc w:val="center"/>
        <w:rPr>
          <w:rFonts w:hint="eastAsia" w:ascii="黑体" w:hAnsi="黑体" w:eastAsia="黑体" w:cs="黑体"/>
          <w:b/>
          <w:bCs/>
          <w:color w:val="000000" w:themeColor="text1"/>
          <w:sz w:val="52"/>
          <w:szCs w:val="52"/>
          <w:lang w:val="en-US" w:eastAsia="zh-CN"/>
          <w14:textFill>
            <w14:gradFill>
              <w14:gsLst>
                <w14:gs w14:pos="50000">
                  <w14:srgbClr w14:val="1F5FBF"/>
                </w14:gs>
                <w14:gs w14:pos="0">
                  <w14:srgbClr w14:val="1486CB"/>
                </w14:gs>
                <w14:gs w14:pos="100000">
                  <w14:srgbClr w14:val="2A34B2"/>
                </w14:gs>
              </w14:gsLst>
              <w14:lin w14:ang="5400000" w14:scaled="1"/>
            </w14:gradFill>
          </w14:textFill>
        </w:rPr>
      </w:pPr>
    </w:p>
    <w:p w14:paraId="15A882AF">
      <w:pPr>
        <w:jc w:val="center"/>
        <w:rPr>
          <w:rFonts w:hint="eastAsia" w:ascii="黑体" w:hAnsi="黑体" w:eastAsia="黑体" w:cs="黑体"/>
          <w:b/>
          <w:bCs/>
          <w:color w:val="000000" w:themeColor="text1"/>
          <w:sz w:val="52"/>
          <w:szCs w:val="52"/>
          <w:lang w:val="en-US" w:eastAsia="zh-CN"/>
          <w14:textFill>
            <w14:gradFill>
              <w14:gsLst>
                <w14:gs w14:pos="50000">
                  <w14:srgbClr w14:val="1F5FBF"/>
                </w14:gs>
                <w14:gs w14:pos="0">
                  <w14:srgbClr w14:val="1486CB"/>
                </w14:gs>
                <w14:gs w14:pos="100000">
                  <w14:srgbClr w14:val="2A34B2"/>
                </w14:gs>
              </w14:gsLst>
              <w14:lin w14:ang="5400000" w14:scaled="1"/>
            </w14:gradFill>
          </w14:textFill>
        </w:rPr>
      </w:pPr>
    </w:p>
    <w:p w14:paraId="4E5F5BB2">
      <w:pPr>
        <w:jc w:val="center"/>
        <w:rPr>
          <w:rFonts w:hint="eastAsia" w:ascii="黑体" w:hAnsi="黑体" w:eastAsia="黑体" w:cs="黑体"/>
          <w:b/>
          <w:bCs/>
          <w:color w:val="000000" w:themeColor="text1"/>
          <w:sz w:val="52"/>
          <w:szCs w:val="52"/>
          <w:lang w:val="en-US" w:eastAsia="zh-CN"/>
          <w14:textFill>
            <w14:gradFill>
              <w14:gsLst>
                <w14:gs w14:pos="50000">
                  <w14:srgbClr w14:val="1F5FBF"/>
                </w14:gs>
                <w14:gs w14:pos="0">
                  <w14:srgbClr w14:val="1486CB"/>
                </w14:gs>
                <w14:gs w14:pos="100000">
                  <w14:srgbClr w14:val="2A34B2"/>
                </w14:gs>
              </w14:gsLst>
              <w14:lin w14:ang="5400000" w14:scaled="1"/>
            </w14:gradFill>
          </w14:textFill>
        </w:rPr>
      </w:pPr>
    </w:p>
    <w:p w14:paraId="7B82DD60">
      <w:pPr>
        <w:jc w:val="center"/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</w:pPr>
    </w:p>
    <w:p w14:paraId="3E637B4A">
      <w:pPr>
        <w:jc w:val="center"/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</w:pPr>
    </w:p>
    <w:p w14:paraId="1355A60A">
      <w:pPr>
        <w:jc w:val="center"/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</w:pPr>
    </w:p>
    <w:p w14:paraId="5CA0846A">
      <w:pPr>
        <w:jc w:val="center"/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</w:pPr>
    </w:p>
    <w:p w14:paraId="1F0C620C">
      <w:pPr>
        <w:jc w:val="center"/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</w:pPr>
    </w:p>
    <w:p w14:paraId="5341FF53">
      <w:pPr>
        <w:spacing w:before="0" w:beforeLines="0" w:after="0" w:afterLines="0" w:line="240" w:lineRule="auto"/>
        <w:ind w:left="0" w:leftChars="0" w:right="0" w:rightChars="0" w:firstLine="0" w:firstLineChars="0"/>
        <w:jc w:val="both"/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sectPr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sdt>
      <w:sdtPr>
        <w:rPr>
          <w:rFonts w:hint="eastAsia" w:ascii="黑体" w:hAnsi="黑体" w:eastAsia="黑体" w:cs="黑体"/>
          <w:kern w:val="2"/>
          <w:sz w:val="28"/>
          <w:szCs w:val="28"/>
          <w:lang w:val="en-US" w:eastAsia="zh-CN" w:bidi="ar-SA"/>
        </w:rPr>
        <w:id w:val="147481903"/>
        <w15:color w:val="DBDBDB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sdtEndPr>
      <w:sdtContent>
        <w:p w14:paraId="2F9C1B6A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黑体" w:hAnsi="黑体" w:eastAsia="黑体" w:cs="黑体"/>
              <w:sz w:val="28"/>
              <w:szCs w:val="28"/>
            </w:rPr>
          </w:pPr>
          <w:r>
            <w:rPr>
              <w:rFonts w:hint="eastAsia" w:ascii="黑体" w:hAnsi="黑体" w:eastAsia="黑体" w:cs="黑体"/>
              <w:sz w:val="28"/>
              <w:szCs w:val="28"/>
            </w:rPr>
            <w:t>目录</w:t>
          </w:r>
        </w:p>
        <w:p w14:paraId="585A5D14">
          <w:pPr>
            <w:pStyle w:val="7"/>
            <w:tabs>
              <w:tab w:val="right" w:leader="dot" w:pos="8306"/>
            </w:tabs>
            <w:rPr>
              <w:rFonts w:hint="eastAsia" w:ascii="黑体" w:hAnsi="黑体" w:eastAsia="黑体" w:cs="黑体"/>
              <w:sz w:val="24"/>
              <w:szCs w:val="24"/>
            </w:rPr>
          </w:pP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instrText xml:space="preserve">TOC \o "1-2" \h \u </w:instrText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instrText xml:space="preserve"> HYPERLINK \l _Toc24554 </w:instrText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t>一、游戏系统</w:t>
          </w:r>
          <w:r>
            <w:rPr>
              <w:rFonts w:hint="eastAsia" w:ascii="黑体" w:hAnsi="黑体" w:eastAsia="黑体" w:cs="黑体"/>
              <w:sz w:val="24"/>
              <w:szCs w:val="24"/>
            </w:rPr>
            <w:tab/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begin"/>
          </w:r>
          <w:r>
            <w:rPr>
              <w:rFonts w:hint="eastAsia" w:ascii="黑体" w:hAnsi="黑体" w:eastAsia="黑体" w:cs="黑体"/>
              <w:sz w:val="24"/>
              <w:szCs w:val="24"/>
            </w:rPr>
            <w:instrText xml:space="preserve"> PAGEREF _Toc24554 \h </w:instrText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separate"/>
          </w:r>
          <w:r>
            <w:rPr>
              <w:rFonts w:hint="eastAsia" w:ascii="黑体" w:hAnsi="黑体" w:eastAsia="黑体" w:cs="黑体"/>
              <w:sz w:val="24"/>
              <w:szCs w:val="24"/>
            </w:rPr>
            <w:t>1</w:t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end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end"/>
          </w:r>
        </w:p>
        <w:p w14:paraId="69A91645">
          <w:pPr>
            <w:pStyle w:val="8"/>
            <w:tabs>
              <w:tab w:val="right" w:leader="dot" w:pos="8306"/>
            </w:tabs>
            <w:rPr>
              <w:rFonts w:hint="eastAsia" w:ascii="黑体" w:hAnsi="黑体" w:eastAsia="黑体" w:cs="黑体"/>
              <w:sz w:val="24"/>
              <w:szCs w:val="24"/>
            </w:rPr>
          </w:pP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instrText xml:space="preserve"> HYPERLINK \l _Toc12889 </w:instrText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t>1.1角色系统</w:t>
          </w:r>
          <w:r>
            <w:rPr>
              <w:rFonts w:hint="eastAsia" w:ascii="黑体" w:hAnsi="黑体" w:eastAsia="黑体" w:cs="黑体"/>
              <w:sz w:val="24"/>
              <w:szCs w:val="24"/>
            </w:rPr>
            <w:tab/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begin"/>
          </w:r>
          <w:r>
            <w:rPr>
              <w:rFonts w:hint="eastAsia" w:ascii="黑体" w:hAnsi="黑体" w:eastAsia="黑体" w:cs="黑体"/>
              <w:sz w:val="24"/>
              <w:szCs w:val="24"/>
            </w:rPr>
            <w:instrText xml:space="preserve"> PAGEREF _Toc12889 \h </w:instrText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separate"/>
          </w:r>
          <w:r>
            <w:rPr>
              <w:rFonts w:hint="eastAsia" w:ascii="黑体" w:hAnsi="黑体" w:eastAsia="黑体" w:cs="黑体"/>
              <w:sz w:val="24"/>
              <w:szCs w:val="24"/>
            </w:rPr>
            <w:t>1</w:t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end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end"/>
          </w:r>
        </w:p>
        <w:p w14:paraId="0D407FD5">
          <w:pPr>
            <w:pStyle w:val="8"/>
            <w:tabs>
              <w:tab w:val="right" w:leader="dot" w:pos="8306"/>
            </w:tabs>
            <w:rPr>
              <w:rFonts w:hint="eastAsia" w:ascii="黑体" w:hAnsi="黑体" w:eastAsia="黑体" w:cs="黑体"/>
              <w:sz w:val="24"/>
              <w:szCs w:val="24"/>
            </w:rPr>
          </w:pP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instrText xml:space="preserve"> HYPERLINK \l _Toc20281 </w:instrText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t>1.2玩法系统</w:t>
          </w:r>
          <w:r>
            <w:rPr>
              <w:rFonts w:hint="eastAsia" w:ascii="黑体" w:hAnsi="黑体" w:eastAsia="黑体" w:cs="黑体"/>
              <w:sz w:val="24"/>
              <w:szCs w:val="24"/>
            </w:rPr>
            <w:tab/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begin"/>
          </w:r>
          <w:r>
            <w:rPr>
              <w:rFonts w:hint="eastAsia" w:ascii="黑体" w:hAnsi="黑体" w:eastAsia="黑体" w:cs="黑体"/>
              <w:sz w:val="24"/>
              <w:szCs w:val="24"/>
            </w:rPr>
            <w:instrText xml:space="preserve"> PAGEREF _Toc20281 \h </w:instrText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separate"/>
          </w:r>
          <w:r>
            <w:rPr>
              <w:rFonts w:hint="eastAsia" w:ascii="黑体" w:hAnsi="黑体" w:eastAsia="黑体" w:cs="黑体"/>
              <w:sz w:val="24"/>
              <w:szCs w:val="24"/>
            </w:rPr>
            <w:t>2</w:t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end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end"/>
          </w:r>
        </w:p>
        <w:p w14:paraId="37058095">
          <w:pPr>
            <w:pStyle w:val="8"/>
            <w:tabs>
              <w:tab w:val="right" w:leader="dot" w:pos="8306"/>
            </w:tabs>
            <w:rPr>
              <w:rFonts w:hint="eastAsia" w:ascii="黑体" w:hAnsi="黑体" w:eastAsia="黑体" w:cs="黑体"/>
              <w:sz w:val="24"/>
              <w:szCs w:val="24"/>
            </w:rPr>
          </w:pP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instrText xml:space="preserve"> HYPERLINK \l _Toc12348 </w:instrText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t>1.3道具系统</w:t>
          </w:r>
          <w:r>
            <w:rPr>
              <w:rFonts w:hint="eastAsia" w:ascii="黑体" w:hAnsi="黑体" w:eastAsia="黑体" w:cs="黑体"/>
              <w:sz w:val="24"/>
              <w:szCs w:val="24"/>
            </w:rPr>
            <w:tab/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begin"/>
          </w:r>
          <w:r>
            <w:rPr>
              <w:rFonts w:hint="eastAsia" w:ascii="黑体" w:hAnsi="黑体" w:eastAsia="黑体" w:cs="黑体"/>
              <w:sz w:val="24"/>
              <w:szCs w:val="24"/>
            </w:rPr>
            <w:instrText xml:space="preserve"> PAGEREF _Toc12348 \h </w:instrText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separate"/>
          </w:r>
          <w:r>
            <w:rPr>
              <w:rFonts w:hint="eastAsia" w:ascii="黑体" w:hAnsi="黑体" w:eastAsia="黑体" w:cs="黑体"/>
              <w:sz w:val="24"/>
              <w:szCs w:val="24"/>
            </w:rPr>
            <w:t>4</w:t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end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end"/>
          </w:r>
        </w:p>
        <w:p w14:paraId="5FC6E845">
          <w:pPr>
            <w:pStyle w:val="8"/>
            <w:tabs>
              <w:tab w:val="right" w:leader="dot" w:pos="8306"/>
            </w:tabs>
            <w:rPr>
              <w:rFonts w:hint="eastAsia" w:ascii="黑体" w:hAnsi="黑体" w:eastAsia="黑体" w:cs="黑体"/>
              <w:sz w:val="24"/>
              <w:szCs w:val="24"/>
            </w:rPr>
          </w:pP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instrText xml:space="preserve"> HYPERLINK \l _Toc18878 </w:instrText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t>1.4障碍物系统</w:t>
          </w:r>
          <w:r>
            <w:rPr>
              <w:rFonts w:hint="eastAsia" w:ascii="黑体" w:hAnsi="黑体" w:eastAsia="黑体" w:cs="黑体"/>
              <w:sz w:val="24"/>
              <w:szCs w:val="24"/>
            </w:rPr>
            <w:tab/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begin"/>
          </w:r>
          <w:r>
            <w:rPr>
              <w:rFonts w:hint="eastAsia" w:ascii="黑体" w:hAnsi="黑体" w:eastAsia="黑体" w:cs="黑体"/>
              <w:sz w:val="24"/>
              <w:szCs w:val="24"/>
            </w:rPr>
            <w:instrText xml:space="preserve"> PAGEREF _Toc18878 \h </w:instrText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separate"/>
          </w:r>
          <w:r>
            <w:rPr>
              <w:rFonts w:hint="eastAsia" w:ascii="黑体" w:hAnsi="黑体" w:eastAsia="黑体" w:cs="黑体"/>
              <w:sz w:val="24"/>
              <w:szCs w:val="24"/>
            </w:rPr>
            <w:t>5</w:t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end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end"/>
          </w:r>
        </w:p>
        <w:p w14:paraId="7677E244">
          <w:pPr>
            <w:pStyle w:val="8"/>
            <w:tabs>
              <w:tab w:val="right" w:leader="dot" w:pos="8306"/>
            </w:tabs>
            <w:rPr>
              <w:rFonts w:hint="eastAsia" w:ascii="黑体" w:hAnsi="黑体" w:eastAsia="黑体" w:cs="黑体"/>
              <w:sz w:val="24"/>
              <w:szCs w:val="24"/>
            </w:rPr>
          </w:pP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instrText xml:space="preserve"> HYPERLINK \l _Toc23881 </w:instrText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t>1.5关卡系统</w:t>
          </w:r>
          <w:r>
            <w:rPr>
              <w:rFonts w:hint="eastAsia" w:ascii="黑体" w:hAnsi="黑体" w:eastAsia="黑体" w:cs="黑体"/>
              <w:sz w:val="24"/>
              <w:szCs w:val="24"/>
            </w:rPr>
            <w:tab/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begin"/>
          </w:r>
          <w:r>
            <w:rPr>
              <w:rFonts w:hint="eastAsia" w:ascii="黑体" w:hAnsi="黑体" w:eastAsia="黑体" w:cs="黑体"/>
              <w:sz w:val="24"/>
              <w:szCs w:val="24"/>
            </w:rPr>
            <w:instrText xml:space="preserve"> PAGEREF _Toc23881 \h </w:instrText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separate"/>
          </w:r>
          <w:r>
            <w:rPr>
              <w:rFonts w:hint="eastAsia" w:ascii="黑体" w:hAnsi="黑体" w:eastAsia="黑体" w:cs="黑体"/>
              <w:sz w:val="24"/>
              <w:szCs w:val="24"/>
            </w:rPr>
            <w:t>6</w:t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end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end"/>
          </w:r>
        </w:p>
        <w:p w14:paraId="411A2C30">
          <w:pPr>
            <w:pStyle w:val="8"/>
            <w:tabs>
              <w:tab w:val="right" w:leader="dot" w:pos="8306"/>
            </w:tabs>
            <w:rPr>
              <w:rFonts w:hint="eastAsia" w:ascii="黑体" w:hAnsi="黑体" w:eastAsia="黑体" w:cs="黑体"/>
              <w:sz w:val="24"/>
              <w:szCs w:val="24"/>
            </w:rPr>
          </w:pP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instrText xml:space="preserve"> HYPERLINK \l _Toc351 </w:instrText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t>1.6经济系统</w:t>
          </w:r>
          <w:r>
            <w:rPr>
              <w:rFonts w:hint="eastAsia" w:ascii="黑体" w:hAnsi="黑体" w:eastAsia="黑体" w:cs="黑体"/>
              <w:sz w:val="24"/>
              <w:szCs w:val="24"/>
            </w:rPr>
            <w:tab/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begin"/>
          </w:r>
          <w:r>
            <w:rPr>
              <w:rFonts w:hint="eastAsia" w:ascii="黑体" w:hAnsi="黑体" w:eastAsia="黑体" w:cs="黑体"/>
              <w:sz w:val="24"/>
              <w:szCs w:val="24"/>
            </w:rPr>
            <w:instrText xml:space="preserve"> PAGEREF _Toc351 \h </w:instrText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separate"/>
          </w:r>
          <w:r>
            <w:rPr>
              <w:rFonts w:hint="eastAsia" w:ascii="黑体" w:hAnsi="黑体" w:eastAsia="黑体" w:cs="黑体"/>
              <w:sz w:val="24"/>
              <w:szCs w:val="24"/>
            </w:rPr>
            <w:t>7</w:t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end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end"/>
          </w:r>
        </w:p>
        <w:p w14:paraId="008D41AC">
          <w:pPr>
            <w:pStyle w:val="8"/>
            <w:tabs>
              <w:tab w:val="right" w:leader="dot" w:pos="8306"/>
            </w:tabs>
            <w:rPr>
              <w:rFonts w:hint="eastAsia" w:ascii="黑体" w:hAnsi="黑体" w:eastAsia="黑体" w:cs="黑体"/>
              <w:sz w:val="24"/>
              <w:szCs w:val="24"/>
            </w:rPr>
          </w:pP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instrText xml:space="preserve"> HYPERLINK \l _Toc15402 </w:instrText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t>1.7社交系统</w:t>
          </w:r>
          <w:r>
            <w:rPr>
              <w:rFonts w:hint="eastAsia" w:ascii="黑体" w:hAnsi="黑体" w:eastAsia="黑体" w:cs="黑体"/>
              <w:sz w:val="24"/>
              <w:szCs w:val="24"/>
            </w:rPr>
            <w:tab/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begin"/>
          </w:r>
          <w:r>
            <w:rPr>
              <w:rFonts w:hint="eastAsia" w:ascii="黑体" w:hAnsi="黑体" w:eastAsia="黑体" w:cs="黑体"/>
              <w:sz w:val="24"/>
              <w:szCs w:val="24"/>
            </w:rPr>
            <w:instrText xml:space="preserve"> PAGEREF _Toc15402 \h </w:instrText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separate"/>
          </w:r>
          <w:r>
            <w:rPr>
              <w:rFonts w:hint="eastAsia" w:ascii="黑体" w:hAnsi="黑体" w:eastAsia="黑体" w:cs="黑体"/>
              <w:sz w:val="24"/>
              <w:szCs w:val="24"/>
            </w:rPr>
            <w:t>9</w:t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end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end"/>
          </w:r>
        </w:p>
        <w:p w14:paraId="6FE970C3">
          <w:pPr>
            <w:pStyle w:val="8"/>
            <w:tabs>
              <w:tab w:val="right" w:leader="dot" w:pos="8306"/>
            </w:tabs>
            <w:rPr>
              <w:rFonts w:hint="eastAsia" w:ascii="黑体" w:hAnsi="黑体" w:eastAsia="黑体" w:cs="黑体"/>
              <w:sz w:val="24"/>
              <w:szCs w:val="24"/>
            </w:rPr>
          </w:pP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instrText xml:space="preserve"> HYPERLINK \l _Toc3351 </w:instrText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t>1.8成就系统</w:t>
          </w:r>
          <w:r>
            <w:rPr>
              <w:rFonts w:hint="eastAsia" w:ascii="黑体" w:hAnsi="黑体" w:eastAsia="黑体" w:cs="黑体"/>
              <w:sz w:val="24"/>
              <w:szCs w:val="24"/>
            </w:rPr>
            <w:tab/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begin"/>
          </w:r>
          <w:r>
            <w:rPr>
              <w:rFonts w:hint="eastAsia" w:ascii="黑体" w:hAnsi="黑体" w:eastAsia="黑体" w:cs="黑体"/>
              <w:sz w:val="24"/>
              <w:szCs w:val="24"/>
            </w:rPr>
            <w:instrText xml:space="preserve"> PAGEREF _Toc3351 \h </w:instrText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separate"/>
          </w:r>
          <w:r>
            <w:rPr>
              <w:rFonts w:hint="eastAsia" w:ascii="黑体" w:hAnsi="黑体" w:eastAsia="黑体" w:cs="黑体"/>
              <w:sz w:val="24"/>
              <w:szCs w:val="24"/>
            </w:rPr>
            <w:t>10</w:t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end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end"/>
          </w:r>
        </w:p>
        <w:p w14:paraId="7FFE2DD1">
          <w:pPr>
            <w:pStyle w:val="8"/>
            <w:tabs>
              <w:tab w:val="right" w:leader="dot" w:pos="8306"/>
            </w:tabs>
            <w:rPr>
              <w:rFonts w:hint="eastAsia" w:ascii="黑体" w:hAnsi="黑体" w:eastAsia="黑体" w:cs="黑体"/>
              <w:sz w:val="24"/>
              <w:szCs w:val="24"/>
            </w:rPr>
          </w:pP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instrText xml:space="preserve"> HYPERLINK \l _Toc29457 </w:instrText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t>1.9 活动运营系统</w:t>
          </w:r>
          <w:r>
            <w:rPr>
              <w:rFonts w:hint="eastAsia" w:ascii="黑体" w:hAnsi="黑体" w:eastAsia="黑体" w:cs="黑体"/>
              <w:sz w:val="24"/>
              <w:szCs w:val="24"/>
            </w:rPr>
            <w:tab/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begin"/>
          </w:r>
          <w:r>
            <w:rPr>
              <w:rFonts w:hint="eastAsia" w:ascii="黑体" w:hAnsi="黑体" w:eastAsia="黑体" w:cs="黑体"/>
              <w:sz w:val="24"/>
              <w:szCs w:val="24"/>
            </w:rPr>
            <w:instrText xml:space="preserve"> PAGEREF _Toc29457 \h </w:instrText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separate"/>
          </w:r>
          <w:r>
            <w:rPr>
              <w:rFonts w:hint="eastAsia" w:ascii="黑体" w:hAnsi="黑体" w:eastAsia="黑体" w:cs="黑体"/>
              <w:sz w:val="24"/>
              <w:szCs w:val="24"/>
            </w:rPr>
            <w:t>11</w:t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end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end"/>
          </w:r>
        </w:p>
        <w:p w14:paraId="09D14D73">
          <w:pPr>
            <w:pStyle w:val="7"/>
            <w:tabs>
              <w:tab w:val="right" w:leader="dot" w:pos="8306"/>
            </w:tabs>
            <w:rPr>
              <w:rFonts w:hint="eastAsia" w:ascii="黑体" w:hAnsi="黑体" w:eastAsia="黑体" w:cs="黑体"/>
              <w:sz w:val="24"/>
              <w:szCs w:val="24"/>
            </w:rPr>
          </w:pP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instrText xml:space="preserve"> HYPERLINK \l _Toc24783 </w:instrText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t>二、功能分类</w:t>
          </w:r>
          <w:r>
            <w:rPr>
              <w:rFonts w:hint="eastAsia" w:ascii="黑体" w:hAnsi="黑体" w:eastAsia="黑体" w:cs="黑体"/>
              <w:sz w:val="24"/>
              <w:szCs w:val="24"/>
            </w:rPr>
            <w:tab/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begin"/>
          </w:r>
          <w:r>
            <w:rPr>
              <w:rFonts w:hint="eastAsia" w:ascii="黑体" w:hAnsi="黑体" w:eastAsia="黑体" w:cs="黑体"/>
              <w:sz w:val="24"/>
              <w:szCs w:val="24"/>
            </w:rPr>
            <w:instrText xml:space="preserve"> PAGEREF _Toc24783 \h </w:instrText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separate"/>
          </w:r>
          <w:r>
            <w:rPr>
              <w:rFonts w:hint="eastAsia" w:ascii="黑体" w:hAnsi="黑体" w:eastAsia="黑体" w:cs="黑体"/>
              <w:sz w:val="24"/>
              <w:szCs w:val="24"/>
            </w:rPr>
            <w:t>12</w:t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end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end"/>
          </w:r>
        </w:p>
        <w:p w14:paraId="5F91D2FC">
          <w:pPr>
            <w:pStyle w:val="7"/>
            <w:tabs>
              <w:tab w:val="right" w:leader="dot" w:pos="8306"/>
            </w:tabs>
            <w:rPr>
              <w:rFonts w:hint="eastAsia" w:ascii="黑体" w:hAnsi="黑体" w:eastAsia="黑体" w:cs="黑体"/>
              <w:sz w:val="24"/>
              <w:szCs w:val="24"/>
            </w:rPr>
          </w:pP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instrText xml:space="preserve"> HYPERLINK \l _Toc31428 </w:instrText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t>三、系统分析</w:t>
          </w:r>
          <w:r>
            <w:rPr>
              <w:rFonts w:hint="eastAsia" w:ascii="黑体" w:hAnsi="黑体" w:eastAsia="黑体" w:cs="黑体"/>
              <w:sz w:val="24"/>
              <w:szCs w:val="24"/>
            </w:rPr>
            <w:tab/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begin"/>
          </w:r>
          <w:r>
            <w:rPr>
              <w:rFonts w:hint="eastAsia" w:ascii="黑体" w:hAnsi="黑体" w:eastAsia="黑体" w:cs="黑体"/>
              <w:sz w:val="24"/>
              <w:szCs w:val="24"/>
            </w:rPr>
            <w:instrText xml:space="preserve"> PAGEREF _Toc31428 \h </w:instrText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separate"/>
          </w:r>
          <w:r>
            <w:rPr>
              <w:rFonts w:hint="eastAsia" w:ascii="黑体" w:hAnsi="黑体" w:eastAsia="黑体" w:cs="黑体"/>
              <w:sz w:val="24"/>
              <w:szCs w:val="24"/>
            </w:rPr>
            <w:t>13</w:t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end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end"/>
          </w:r>
        </w:p>
        <w:p w14:paraId="578B1C4A">
          <w:pPr>
            <w:pStyle w:val="8"/>
            <w:tabs>
              <w:tab w:val="right" w:leader="dot" w:pos="8306"/>
            </w:tabs>
            <w:rPr>
              <w:rFonts w:hint="eastAsia" w:ascii="黑体" w:hAnsi="黑体" w:eastAsia="黑体" w:cs="黑体"/>
              <w:sz w:val="24"/>
              <w:szCs w:val="24"/>
            </w:rPr>
          </w:pP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instrText xml:space="preserve"> HYPERLINK \l _Toc31944 </w:instrText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t>3.1系统定位</w:t>
          </w:r>
          <w:r>
            <w:rPr>
              <w:rFonts w:hint="eastAsia" w:ascii="黑体" w:hAnsi="黑体" w:eastAsia="黑体" w:cs="黑体"/>
              <w:sz w:val="24"/>
              <w:szCs w:val="24"/>
            </w:rPr>
            <w:tab/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begin"/>
          </w:r>
          <w:r>
            <w:rPr>
              <w:rFonts w:hint="eastAsia" w:ascii="黑体" w:hAnsi="黑体" w:eastAsia="黑体" w:cs="黑体"/>
              <w:sz w:val="24"/>
              <w:szCs w:val="24"/>
            </w:rPr>
            <w:instrText xml:space="preserve"> PAGEREF _Toc31944 \h </w:instrText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separate"/>
          </w:r>
          <w:r>
            <w:rPr>
              <w:rFonts w:hint="eastAsia" w:ascii="黑体" w:hAnsi="黑体" w:eastAsia="黑体" w:cs="黑体"/>
              <w:sz w:val="24"/>
              <w:szCs w:val="24"/>
            </w:rPr>
            <w:t>13</w:t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end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end"/>
          </w:r>
        </w:p>
        <w:p w14:paraId="7755885D">
          <w:pPr>
            <w:pStyle w:val="8"/>
            <w:tabs>
              <w:tab w:val="right" w:leader="dot" w:pos="8306"/>
            </w:tabs>
            <w:rPr>
              <w:rFonts w:hint="eastAsia" w:ascii="黑体" w:hAnsi="黑体" w:eastAsia="黑体" w:cs="黑体"/>
              <w:sz w:val="24"/>
              <w:szCs w:val="24"/>
            </w:rPr>
          </w:pP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instrText xml:space="preserve"> HYPERLINK \l _Toc23240 </w:instrText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t>3.2整体感情基调</w:t>
          </w:r>
          <w:r>
            <w:rPr>
              <w:rFonts w:hint="eastAsia" w:ascii="黑体" w:hAnsi="黑体" w:eastAsia="黑体" w:cs="黑体"/>
              <w:sz w:val="24"/>
              <w:szCs w:val="24"/>
            </w:rPr>
            <w:tab/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begin"/>
          </w:r>
          <w:r>
            <w:rPr>
              <w:rFonts w:hint="eastAsia" w:ascii="黑体" w:hAnsi="黑体" w:eastAsia="黑体" w:cs="黑体"/>
              <w:sz w:val="24"/>
              <w:szCs w:val="24"/>
            </w:rPr>
            <w:instrText xml:space="preserve"> PAGEREF _Toc23240 \h </w:instrText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separate"/>
          </w:r>
          <w:r>
            <w:rPr>
              <w:rFonts w:hint="eastAsia" w:ascii="黑体" w:hAnsi="黑体" w:eastAsia="黑体" w:cs="黑体"/>
              <w:sz w:val="24"/>
              <w:szCs w:val="24"/>
            </w:rPr>
            <w:t>13</w:t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end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end"/>
          </w:r>
        </w:p>
        <w:p w14:paraId="0FA8E808">
          <w:pPr>
            <w:pStyle w:val="8"/>
            <w:tabs>
              <w:tab w:val="right" w:leader="dot" w:pos="8306"/>
            </w:tabs>
            <w:rPr>
              <w:rFonts w:hint="eastAsia" w:ascii="黑体" w:hAnsi="黑体" w:eastAsia="黑体" w:cs="黑体"/>
              <w:sz w:val="24"/>
              <w:szCs w:val="24"/>
            </w:rPr>
          </w:pP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instrText xml:space="preserve"> HYPERLINK \l _Toc22931 </w:instrText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t>3.3系统之间的配合关系</w:t>
          </w:r>
          <w:r>
            <w:rPr>
              <w:rFonts w:hint="eastAsia" w:ascii="黑体" w:hAnsi="黑体" w:eastAsia="黑体" w:cs="黑体"/>
              <w:sz w:val="24"/>
              <w:szCs w:val="24"/>
            </w:rPr>
            <w:tab/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begin"/>
          </w:r>
          <w:r>
            <w:rPr>
              <w:rFonts w:hint="eastAsia" w:ascii="黑体" w:hAnsi="黑体" w:eastAsia="黑体" w:cs="黑体"/>
              <w:sz w:val="24"/>
              <w:szCs w:val="24"/>
            </w:rPr>
            <w:instrText xml:space="preserve"> PAGEREF _Toc22931 \h </w:instrText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separate"/>
          </w:r>
          <w:r>
            <w:rPr>
              <w:rFonts w:hint="eastAsia" w:ascii="黑体" w:hAnsi="黑体" w:eastAsia="黑体" w:cs="黑体"/>
              <w:sz w:val="24"/>
              <w:szCs w:val="24"/>
            </w:rPr>
            <w:t>14</w:t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end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end"/>
          </w:r>
        </w:p>
        <w:p w14:paraId="127CFD9E">
          <w:pPr>
            <w:pStyle w:val="7"/>
            <w:tabs>
              <w:tab w:val="right" w:leader="dot" w:pos="8306"/>
            </w:tabs>
            <w:rPr>
              <w:rFonts w:hint="eastAsia" w:ascii="黑体" w:hAnsi="黑体" w:eastAsia="黑体" w:cs="黑体"/>
              <w:sz w:val="24"/>
              <w:szCs w:val="24"/>
            </w:rPr>
          </w:pP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instrText xml:space="preserve"> HYPERLINK \l _Toc1025 </w:instrText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t>四、分析观点</w:t>
          </w:r>
          <w:r>
            <w:rPr>
              <w:rFonts w:hint="eastAsia" w:ascii="黑体" w:hAnsi="黑体" w:eastAsia="黑体" w:cs="黑体"/>
              <w:sz w:val="24"/>
              <w:szCs w:val="24"/>
            </w:rPr>
            <w:tab/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begin"/>
          </w:r>
          <w:r>
            <w:rPr>
              <w:rFonts w:hint="eastAsia" w:ascii="黑体" w:hAnsi="黑体" w:eastAsia="黑体" w:cs="黑体"/>
              <w:sz w:val="24"/>
              <w:szCs w:val="24"/>
            </w:rPr>
            <w:instrText xml:space="preserve"> PAGEREF _Toc1025 \h </w:instrText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separate"/>
          </w:r>
          <w:r>
            <w:rPr>
              <w:rFonts w:hint="eastAsia" w:ascii="黑体" w:hAnsi="黑体" w:eastAsia="黑体" w:cs="黑体"/>
              <w:sz w:val="24"/>
              <w:szCs w:val="24"/>
            </w:rPr>
            <w:t>14</w:t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end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end"/>
          </w:r>
        </w:p>
        <w:p w14:paraId="7382D10B">
          <w:pPr>
            <w:pStyle w:val="8"/>
            <w:tabs>
              <w:tab w:val="right" w:leader="dot" w:pos="8306"/>
            </w:tabs>
            <w:rPr>
              <w:rFonts w:hint="eastAsia" w:ascii="黑体" w:hAnsi="黑体" w:eastAsia="黑体" w:cs="黑体"/>
              <w:sz w:val="24"/>
              <w:szCs w:val="24"/>
            </w:rPr>
          </w:pP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instrText xml:space="preserve"> HYPERLINK \l _Toc31925 </w:instrText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t>4.1游戏理解与分析</w:t>
          </w:r>
          <w:r>
            <w:rPr>
              <w:rFonts w:hint="eastAsia" w:ascii="黑体" w:hAnsi="黑体" w:eastAsia="黑体" w:cs="黑体"/>
              <w:sz w:val="24"/>
              <w:szCs w:val="24"/>
            </w:rPr>
            <w:tab/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begin"/>
          </w:r>
          <w:r>
            <w:rPr>
              <w:rFonts w:hint="eastAsia" w:ascii="黑体" w:hAnsi="黑体" w:eastAsia="黑体" w:cs="黑体"/>
              <w:sz w:val="24"/>
              <w:szCs w:val="24"/>
            </w:rPr>
            <w:instrText xml:space="preserve"> PAGEREF _Toc31925 \h </w:instrText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separate"/>
          </w:r>
          <w:r>
            <w:rPr>
              <w:rFonts w:hint="eastAsia" w:ascii="黑体" w:hAnsi="黑体" w:eastAsia="黑体" w:cs="黑体"/>
              <w:sz w:val="24"/>
              <w:szCs w:val="24"/>
            </w:rPr>
            <w:t>14</w:t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end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end"/>
          </w:r>
        </w:p>
        <w:p w14:paraId="325CB474">
          <w:pPr>
            <w:pStyle w:val="8"/>
            <w:tabs>
              <w:tab w:val="right" w:leader="dot" w:pos="8306"/>
            </w:tabs>
            <w:rPr>
              <w:rFonts w:hint="eastAsia" w:ascii="黑体" w:hAnsi="黑体" w:eastAsia="黑体" w:cs="黑体"/>
              <w:sz w:val="24"/>
              <w:szCs w:val="24"/>
            </w:rPr>
          </w:pP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instrText xml:space="preserve"> HYPERLINK \l _Toc9548 </w:instrText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t>4.2优点</w:t>
          </w:r>
          <w:r>
            <w:rPr>
              <w:rFonts w:hint="eastAsia" w:ascii="黑体" w:hAnsi="黑体" w:eastAsia="黑体" w:cs="黑体"/>
              <w:sz w:val="24"/>
              <w:szCs w:val="24"/>
            </w:rPr>
            <w:tab/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begin"/>
          </w:r>
          <w:r>
            <w:rPr>
              <w:rFonts w:hint="eastAsia" w:ascii="黑体" w:hAnsi="黑体" w:eastAsia="黑体" w:cs="黑体"/>
              <w:sz w:val="24"/>
              <w:szCs w:val="24"/>
            </w:rPr>
            <w:instrText xml:space="preserve"> PAGEREF _Toc9548 \h </w:instrText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separate"/>
          </w:r>
          <w:r>
            <w:rPr>
              <w:rFonts w:hint="eastAsia" w:ascii="黑体" w:hAnsi="黑体" w:eastAsia="黑体" w:cs="黑体"/>
              <w:sz w:val="24"/>
              <w:szCs w:val="24"/>
            </w:rPr>
            <w:t>15</w:t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end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end"/>
          </w:r>
        </w:p>
        <w:p w14:paraId="52507383">
          <w:pPr>
            <w:pStyle w:val="8"/>
            <w:tabs>
              <w:tab w:val="right" w:leader="dot" w:pos="8306"/>
            </w:tabs>
            <w:rPr>
              <w:rFonts w:hint="eastAsia" w:ascii="黑体" w:hAnsi="黑体" w:eastAsia="黑体" w:cs="黑体"/>
              <w:sz w:val="24"/>
              <w:szCs w:val="24"/>
            </w:rPr>
          </w:pP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instrText xml:space="preserve"> HYPERLINK \l _Toc17247 </w:instrText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t>4.3缺点</w:t>
          </w:r>
          <w:r>
            <w:rPr>
              <w:rFonts w:hint="eastAsia" w:ascii="黑体" w:hAnsi="黑体" w:eastAsia="黑体" w:cs="黑体"/>
              <w:sz w:val="24"/>
              <w:szCs w:val="24"/>
            </w:rPr>
            <w:tab/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begin"/>
          </w:r>
          <w:r>
            <w:rPr>
              <w:rFonts w:hint="eastAsia" w:ascii="黑体" w:hAnsi="黑体" w:eastAsia="黑体" w:cs="黑体"/>
              <w:sz w:val="24"/>
              <w:szCs w:val="24"/>
            </w:rPr>
            <w:instrText xml:space="preserve"> PAGEREF _Toc17247 \h </w:instrText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separate"/>
          </w:r>
          <w:r>
            <w:rPr>
              <w:rFonts w:hint="eastAsia" w:ascii="黑体" w:hAnsi="黑体" w:eastAsia="黑体" w:cs="黑体"/>
              <w:sz w:val="24"/>
              <w:szCs w:val="24"/>
            </w:rPr>
            <w:t>15</w:t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end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end"/>
          </w:r>
        </w:p>
        <w:p w14:paraId="3C71BD1B">
          <w:pPr>
            <w:pStyle w:val="8"/>
            <w:tabs>
              <w:tab w:val="right" w:leader="dot" w:pos="8306"/>
            </w:tabs>
            <w:rPr>
              <w:rFonts w:hint="eastAsia" w:ascii="黑体" w:hAnsi="黑体" w:eastAsia="黑体" w:cs="黑体"/>
              <w:sz w:val="24"/>
              <w:szCs w:val="24"/>
            </w:rPr>
          </w:pP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instrText xml:space="preserve"> HYPERLINK \l _Toc29140 </w:instrText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t>4.4 成功要素</w:t>
          </w:r>
          <w:r>
            <w:rPr>
              <w:rFonts w:hint="eastAsia" w:ascii="黑体" w:hAnsi="黑体" w:eastAsia="黑体" w:cs="黑体"/>
              <w:sz w:val="24"/>
              <w:szCs w:val="24"/>
            </w:rPr>
            <w:tab/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begin"/>
          </w:r>
          <w:r>
            <w:rPr>
              <w:rFonts w:hint="eastAsia" w:ascii="黑体" w:hAnsi="黑体" w:eastAsia="黑体" w:cs="黑体"/>
              <w:sz w:val="24"/>
              <w:szCs w:val="24"/>
            </w:rPr>
            <w:instrText xml:space="preserve"> PAGEREF _Toc29140 \h </w:instrText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separate"/>
          </w:r>
          <w:r>
            <w:rPr>
              <w:rFonts w:hint="eastAsia" w:ascii="黑体" w:hAnsi="黑体" w:eastAsia="黑体" w:cs="黑体"/>
              <w:sz w:val="24"/>
              <w:szCs w:val="24"/>
            </w:rPr>
            <w:t>16</w:t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end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end"/>
          </w:r>
        </w:p>
        <w:p w14:paraId="49126B71">
          <w:pPr>
            <w:pStyle w:val="8"/>
            <w:tabs>
              <w:tab w:val="right" w:leader="dot" w:pos="8306"/>
            </w:tabs>
            <w:rPr>
              <w:rFonts w:hint="eastAsia" w:ascii="黑体" w:hAnsi="黑体" w:eastAsia="黑体" w:cs="黑体"/>
              <w:sz w:val="24"/>
              <w:szCs w:val="24"/>
            </w:rPr>
          </w:pP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instrText xml:space="preserve"> HYPERLINK \l _Toc7133 </w:instrText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t>4.5改进建议</w:t>
          </w:r>
          <w:r>
            <w:rPr>
              <w:rFonts w:hint="eastAsia" w:ascii="黑体" w:hAnsi="黑体" w:eastAsia="黑体" w:cs="黑体"/>
              <w:sz w:val="24"/>
              <w:szCs w:val="24"/>
            </w:rPr>
            <w:tab/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begin"/>
          </w:r>
          <w:r>
            <w:rPr>
              <w:rFonts w:hint="eastAsia" w:ascii="黑体" w:hAnsi="黑体" w:eastAsia="黑体" w:cs="黑体"/>
              <w:sz w:val="24"/>
              <w:szCs w:val="24"/>
            </w:rPr>
            <w:instrText xml:space="preserve"> PAGEREF _Toc7133 \h </w:instrText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separate"/>
          </w:r>
          <w:r>
            <w:rPr>
              <w:rFonts w:hint="eastAsia" w:ascii="黑体" w:hAnsi="黑体" w:eastAsia="黑体" w:cs="黑体"/>
              <w:sz w:val="24"/>
              <w:szCs w:val="24"/>
            </w:rPr>
            <w:t>16</w:t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end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end"/>
          </w:r>
        </w:p>
        <w:p w14:paraId="494DBBE8">
          <w:pPr>
            <w:pStyle w:val="8"/>
            <w:tabs>
              <w:tab w:val="right" w:leader="dot" w:pos="8306"/>
            </w:tabs>
            <w:rPr>
              <w:rFonts w:hint="eastAsia" w:ascii="黑体" w:hAnsi="黑体" w:eastAsia="黑体" w:cs="黑体"/>
              <w:sz w:val="24"/>
              <w:szCs w:val="24"/>
            </w:rPr>
          </w:pP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instrText xml:space="preserve"> HYPERLINK \l _Toc20279 </w:instrText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t>4.6竞品分析</w:t>
          </w:r>
          <w:r>
            <w:rPr>
              <w:rFonts w:hint="eastAsia" w:ascii="黑体" w:hAnsi="黑体" w:eastAsia="黑体" w:cs="黑体"/>
              <w:sz w:val="24"/>
              <w:szCs w:val="24"/>
            </w:rPr>
            <w:tab/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begin"/>
          </w:r>
          <w:r>
            <w:rPr>
              <w:rFonts w:hint="eastAsia" w:ascii="黑体" w:hAnsi="黑体" w:eastAsia="黑体" w:cs="黑体"/>
              <w:sz w:val="24"/>
              <w:szCs w:val="24"/>
            </w:rPr>
            <w:instrText xml:space="preserve"> PAGEREF _Toc20279 \h </w:instrText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separate"/>
          </w:r>
          <w:r>
            <w:rPr>
              <w:rFonts w:hint="eastAsia" w:ascii="黑体" w:hAnsi="黑体" w:eastAsia="黑体" w:cs="黑体"/>
              <w:sz w:val="24"/>
              <w:szCs w:val="24"/>
            </w:rPr>
            <w:t>18</w:t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end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end"/>
          </w:r>
        </w:p>
        <w:p w14:paraId="434D1F00">
          <w:pPr>
            <w:rPr>
              <w:rFonts w:hint="eastAsia" w:asciiTheme="minorHAnsi" w:hAnsiTheme="minorHAnsi" w:eastAsiaTheme="minorEastAsia" w:cstheme="minorBidi"/>
              <w:kern w:val="2"/>
              <w:sz w:val="21"/>
              <w:szCs w:val="24"/>
              <w:lang w:val="en-US" w:eastAsia="zh-CN" w:bidi="ar-SA"/>
            </w:rPr>
          </w:pP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end"/>
          </w:r>
        </w:p>
      </w:sdtContent>
    </w:sdt>
    <w:p w14:paraId="32861211"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06946B81"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271EA1F8"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29BBA521"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317472FF"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3B34BAAA"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36F37BF4"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714532D7"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7BC97510"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71CDCD1C"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774AE081"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1AE49CAD"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3CAD51CB"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202D0848"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392BBCC9"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4EBB13D5"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126BE0BA"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5CDA00C9">
      <w:pPr>
        <w:pStyle w:val="2"/>
        <w:bidi w:val="0"/>
        <w:rPr>
          <w:rFonts w:hint="eastAsia"/>
          <w:lang w:val="en-US" w:eastAsia="zh-CN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start="1"/>
          <w:cols w:space="425" w:num="1"/>
          <w:docGrid w:type="lines" w:linePitch="312" w:charSpace="0"/>
        </w:sectPr>
      </w:pPr>
      <w:bookmarkStart w:id="0" w:name="_Toc24554"/>
    </w:p>
    <w:p w14:paraId="5E951E21">
      <w:pPr>
        <w:pStyle w:val="2"/>
        <w:bidi w:val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一、游戏系统</w:t>
      </w:r>
      <w:bookmarkEnd w:id="0"/>
    </w:p>
    <w:p w14:paraId="5195FFB1">
      <w:pPr>
        <w:pStyle w:val="3"/>
        <w:bidi w:val="0"/>
        <w:rPr>
          <w:rFonts w:hint="eastAsia"/>
          <w:lang w:val="en-US" w:eastAsia="zh-CN"/>
        </w:rPr>
      </w:pPr>
      <w:bookmarkStart w:id="1" w:name="_Toc12889"/>
      <w:r>
        <w:rPr>
          <w:rFonts w:hint="eastAsia"/>
          <w:lang w:val="en-US" w:eastAsia="zh-CN"/>
        </w:rPr>
        <w:t>1.1角色系统</w:t>
      </w:r>
      <w:bookmarkEnd w:id="1"/>
    </w:p>
    <w:p w14:paraId="6B08EB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1、六只动物的选择逻辑</w:t>
      </w:r>
    </w:p>
    <w:p w14:paraId="5DAA0D5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eastAsiaTheme="minorEastAsia"/>
          <w:sz w:val="21"/>
          <w:szCs w:val="21"/>
          <w:lang w:val="en-US" w:eastAsia="zh-CN"/>
        </w:rPr>
      </w:pPr>
      <w:r>
        <w:rPr>
          <w:rFonts w:hint="eastAsia" w:eastAsiaTheme="minorEastAsia"/>
          <w:sz w:val="21"/>
          <w:szCs w:val="21"/>
          <w:lang w:val="en-US" w:eastAsia="zh-CN"/>
        </w:rPr>
        <w:t>《开心消消乐》的基础消除元素由六种动物棋子承担，并分别对应稳定的颜色识别关系。它们在系统中的首要职责不是提供数值成长，而是作为“视觉识别载体”和“情绪反馈载体”，帮助玩家在极短时间内完成扫盘、判断与操作。</w:t>
      </w:r>
    </w:p>
    <w:p w14:paraId="7A923B8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</w:pP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894080" cy="927100"/>
            <wp:effectExtent l="0" t="0" r="1270" b="63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9408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</w:t>
      </w:r>
      <w:r>
        <w:drawing>
          <wp:inline distT="0" distB="0" distL="114300" distR="114300">
            <wp:extent cx="955675" cy="904240"/>
            <wp:effectExtent l="0" t="0" r="15875" b="1016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5675" cy="90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</w:t>
      </w:r>
      <w:r>
        <w:drawing>
          <wp:inline distT="0" distB="0" distL="114300" distR="114300">
            <wp:extent cx="973455" cy="904875"/>
            <wp:effectExtent l="0" t="0" r="17145" b="952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345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333A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/>
          <w:lang w:val="en-US" w:eastAsia="zh-CN"/>
        </w:rPr>
      </w:pPr>
    </w:p>
    <w:p w14:paraId="52F264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927735" cy="910590"/>
            <wp:effectExtent l="0" t="0" r="5715" b="381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7735" cy="91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</w:t>
      </w:r>
      <w:r>
        <w:drawing>
          <wp:inline distT="0" distB="0" distL="114300" distR="114300">
            <wp:extent cx="918845" cy="918845"/>
            <wp:effectExtent l="0" t="0" r="14605" b="1460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8845" cy="91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</w:t>
      </w:r>
      <w:r>
        <w:drawing>
          <wp:inline distT="0" distB="0" distL="114300" distR="114300">
            <wp:extent cx="946150" cy="912495"/>
            <wp:effectExtent l="0" t="0" r="6350" b="190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46150" cy="91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47B3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eastAsiaTheme="minorEastAsia"/>
          <w:sz w:val="21"/>
          <w:szCs w:val="21"/>
          <w:lang w:val="en-US" w:eastAsia="zh-CN"/>
        </w:rPr>
      </w:pPr>
      <w:r>
        <w:rPr>
          <w:rFonts w:hint="eastAsia" w:eastAsiaTheme="minorEastAsia"/>
          <w:sz w:val="21"/>
          <w:szCs w:val="21"/>
          <w:lang w:val="en-US" w:eastAsia="zh-CN"/>
        </w:rPr>
        <w:t>三消产品的单步决策时间通常很短。如果棋子颜色接近、轮廓复杂或状态表达不清，玩家就会在扫盘阶段增加认知负担。《开心消消乐》长期使用高明度差异、清晰轮廓和夸张表情来降低识别成本，这种设计既服务新手上手，也服务高关卡中的高速判断。</w:t>
      </w:r>
    </w:p>
    <w:p w14:paraId="2C245A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eastAsiaTheme="minorEastAsia"/>
          <w:sz w:val="21"/>
          <w:szCs w:val="21"/>
          <w:lang w:val="en-US" w:eastAsia="zh-CN"/>
        </w:rPr>
      </w:pPr>
      <w:r>
        <w:rPr>
          <w:rFonts w:hint="eastAsia" w:eastAsiaTheme="minorEastAsia"/>
          <w:sz w:val="21"/>
          <w:szCs w:val="21"/>
          <w:lang w:val="en-US" w:eastAsia="zh-CN"/>
        </w:rPr>
        <w:t>这些动物更接近“功能性棋子+轻IP包装”的复合设计，而不是传统养成角色。它们没有复杂属性、成长线或强度差异，因此不会把休闲用户的注意力从“消除解题”拉向“角色培养”。</w:t>
      </w:r>
    </w:p>
    <w:tbl>
      <w:tblPr>
        <w:tblStyle w:val="11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7"/>
        <w:gridCol w:w="2896"/>
        <w:gridCol w:w="4319"/>
      </w:tblGrid>
      <w:tr w14:paraId="2B39EA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307" w:type="dxa"/>
            <w:shd w:val="clear" w:color="auto" w:fill="D4F4F1" w:themeFill="accent5" w:themeFillTint="32"/>
            <w:vAlign w:val="center"/>
          </w:tcPr>
          <w:p w14:paraId="50C43C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设计点</w:t>
            </w:r>
          </w:p>
        </w:tc>
        <w:tc>
          <w:tcPr>
            <w:tcW w:w="2896" w:type="dxa"/>
            <w:shd w:val="clear" w:color="auto" w:fill="D4F4F1" w:themeFill="accent5" w:themeFillTint="32"/>
            <w:vAlign w:val="center"/>
          </w:tcPr>
          <w:p w14:paraId="65BB79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具体表现</w:t>
            </w:r>
          </w:p>
        </w:tc>
        <w:tc>
          <w:tcPr>
            <w:tcW w:w="4319" w:type="dxa"/>
            <w:shd w:val="clear" w:color="auto" w:fill="D4F4F1" w:themeFill="accent5" w:themeFillTint="32"/>
            <w:vAlign w:val="center"/>
          </w:tcPr>
          <w:p w14:paraId="2951C2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策划价值</w:t>
            </w:r>
          </w:p>
        </w:tc>
      </w:tr>
      <w:tr w14:paraId="7D4EB5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9" w:hRule="atLeast"/>
          <w:jc w:val="center"/>
        </w:trPr>
        <w:tc>
          <w:tcPr>
            <w:tcW w:w="1307" w:type="dxa"/>
            <w:vAlign w:val="center"/>
          </w:tcPr>
          <w:p w14:paraId="450427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颜色区分</w:t>
            </w:r>
          </w:p>
        </w:tc>
        <w:tc>
          <w:tcPr>
            <w:tcW w:w="2896" w:type="dxa"/>
            <w:vAlign w:val="center"/>
          </w:tcPr>
          <w:p w14:paraId="1D0963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六种动物对应不同颜色，棋盘识别直观。</w:t>
            </w:r>
          </w:p>
        </w:tc>
        <w:tc>
          <w:tcPr>
            <w:tcW w:w="4319" w:type="dxa"/>
            <w:vAlign w:val="center"/>
          </w:tcPr>
          <w:p w14:paraId="2CC43E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降低扫盘成本，减少误操作。</w:t>
            </w:r>
          </w:p>
        </w:tc>
      </w:tr>
      <w:tr w14:paraId="22842D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07" w:type="dxa"/>
            <w:vAlign w:val="center"/>
          </w:tcPr>
          <w:p w14:paraId="63D560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轮廓简洁</w:t>
            </w:r>
          </w:p>
        </w:tc>
        <w:tc>
          <w:tcPr>
            <w:tcW w:w="2896" w:type="dxa"/>
            <w:vAlign w:val="center"/>
          </w:tcPr>
          <w:p w14:paraId="610167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角色形象卡通化，细节不过度复杂。</w:t>
            </w:r>
          </w:p>
        </w:tc>
        <w:tc>
          <w:tcPr>
            <w:tcW w:w="4319" w:type="dxa"/>
            <w:vAlign w:val="center"/>
          </w:tcPr>
          <w:p w14:paraId="270A7F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适配手机屏幕与碎片化场景。</w:t>
            </w:r>
          </w:p>
        </w:tc>
      </w:tr>
      <w:tr w14:paraId="22DD85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07" w:type="dxa"/>
            <w:vAlign w:val="center"/>
          </w:tcPr>
          <w:p w14:paraId="071B35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表情反馈</w:t>
            </w:r>
          </w:p>
        </w:tc>
        <w:tc>
          <w:tcPr>
            <w:tcW w:w="2896" w:type="dxa"/>
            <w:vAlign w:val="center"/>
          </w:tcPr>
          <w:p w14:paraId="3BE0E7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普通消除、特效状态、连消结果都有明显表现。</w:t>
            </w:r>
          </w:p>
        </w:tc>
        <w:tc>
          <w:tcPr>
            <w:tcW w:w="4319" w:type="dxa"/>
            <w:vAlign w:val="center"/>
          </w:tcPr>
          <w:p w14:paraId="7742C0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用视觉而非文字传达状态。</w:t>
            </w:r>
          </w:p>
        </w:tc>
      </w:tr>
      <w:tr w14:paraId="1FA1F6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07" w:type="dxa"/>
            <w:vAlign w:val="center"/>
          </w:tcPr>
          <w:p w14:paraId="28EE04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稳定形象</w:t>
            </w:r>
          </w:p>
        </w:tc>
        <w:tc>
          <w:tcPr>
            <w:tcW w:w="2896" w:type="dxa"/>
            <w:vAlign w:val="center"/>
          </w:tcPr>
          <w:p w14:paraId="6DBEBA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基础棋子长期保持稳定，不频繁更换。</w:t>
            </w:r>
          </w:p>
        </w:tc>
        <w:tc>
          <w:tcPr>
            <w:tcW w:w="4319" w:type="dxa"/>
            <w:vAlign w:val="center"/>
          </w:tcPr>
          <w:p w14:paraId="6BE10C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形成用户记忆，维持玩法可预测性。</w:t>
            </w:r>
          </w:p>
        </w:tc>
      </w:tr>
    </w:tbl>
    <w:p w14:paraId="097494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</w:pPr>
    </w:p>
    <w:p w14:paraId="780DC2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eastAsiaTheme="minorEastAsia"/>
          <w:b/>
          <w:bCs/>
          <w:sz w:val="21"/>
          <w:szCs w:val="21"/>
          <w:lang w:val="en-US" w:eastAsia="zh-CN"/>
        </w:rPr>
      </w:pPr>
      <w:r>
        <w:rPr>
          <w:rFonts w:hint="eastAsia" w:eastAsiaTheme="minorEastAsia"/>
          <w:b/>
          <w:bCs/>
          <w:sz w:val="21"/>
          <w:szCs w:val="21"/>
          <w:lang w:val="en-US" w:eastAsia="zh-CN"/>
        </w:rPr>
        <w:t>2、</w:t>
      </w:r>
      <w:r>
        <w:rPr>
          <w:rFonts w:hint="eastAsia"/>
          <w:b/>
          <w:bCs/>
          <w:sz w:val="21"/>
          <w:szCs w:val="21"/>
          <w:lang w:val="en-US" w:eastAsia="zh-CN"/>
        </w:rPr>
        <w:t>I</w:t>
      </w:r>
      <w:r>
        <w:rPr>
          <w:rFonts w:hint="eastAsia" w:eastAsiaTheme="minorEastAsia"/>
          <w:b/>
          <w:bCs/>
          <w:sz w:val="21"/>
          <w:szCs w:val="21"/>
          <w:lang w:val="en-US" w:eastAsia="zh-CN"/>
        </w:rPr>
        <w:t>P的包装价值</w:t>
      </w:r>
    </w:p>
    <w:p w14:paraId="66E03A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eastAsiaTheme="minorEastAsia"/>
          <w:sz w:val="21"/>
          <w:szCs w:val="21"/>
          <w:lang w:val="en-US" w:eastAsia="zh-CN"/>
        </w:rPr>
      </w:pPr>
      <w:r>
        <w:rPr>
          <w:rFonts w:hint="eastAsia" w:eastAsiaTheme="minorEastAsia"/>
          <w:sz w:val="21"/>
          <w:szCs w:val="21"/>
          <w:lang w:val="en-US" w:eastAsia="zh-CN"/>
        </w:rPr>
        <w:t>《开心消消乐》的动物角色已经具备明显的品牌识别价值。官方十二周年版本、线下城市活动和长期运营素材，都在不断强化“小动物”“轻松陪伴”的品牌印象。2026年4月十二周年版本中，游戏围绕周年回忆、音乐节、好友演奏等主题组织活动，说明角色与世界观已经被用于承接长期情绪价值。</w:t>
      </w:r>
    </w:p>
    <w:p w14:paraId="794284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eastAsiaTheme="minorEastAsia"/>
          <w:sz w:val="21"/>
          <w:szCs w:val="21"/>
          <w:lang w:val="en-US" w:eastAsia="zh-CN"/>
        </w:rPr>
      </w:pPr>
      <w:r>
        <w:rPr>
          <w:rFonts w:hint="eastAsia" w:eastAsiaTheme="minorEastAsia"/>
          <w:sz w:val="21"/>
          <w:szCs w:val="21"/>
          <w:lang w:val="en-US" w:eastAsia="zh-CN"/>
        </w:rPr>
        <w:t>但就游戏本体而言，角色系统仍然以“局内识别”和“局后包装”为主，缺少更强的局内角色承载。例如专属任务、轻剧情、角色主题收集或头像奖励等内容仍有扩展空间。它的优点是足够克制，不破坏三消的低门槛；不足是局内情感沉淀相对有限。</w:t>
      </w:r>
    </w:p>
    <w:p w14:paraId="54353D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eastAsiaTheme="minorEastAsia"/>
          <w:sz w:val="21"/>
          <w:szCs w:val="21"/>
          <w:lang w:val="en-US" w:eastAsia="zh-CN"/>
        </w:rPr>
      </w:pPr>
      <w:r>
        <w:rPr>
          <w:rFonts w:hint="eastAsia" w:eastAsiaTheme="minorEastAsia"/>
          <w:sz w:val="21"/>
          <w:szCs w:val="21"/>
          <w:lang w:val="en-US" w:eastAsia="zh-CN"/>
        </w:rPr>
        <w:t>因此，角色系统当前的核心价值应概括为“识别效率+情绪包装+品牌记忆”，而不是“养成驱动”。如果后续优化，更适合做轻量任务线、头像/表情奖励、节日主题包装，而不宜引入复杂的角色成长。</w:t>
      </w:r>
    </w:p>
    <w:p w14:paraId="79605E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eastAsiaTheme="minorEastAsia"/>
          <w:sz w:val="21"/>
          <w:szCs w:val="21"/>
          <w:lang w:val="en-US" w:eastAsia="zh-CN"/>
        </w:rPr>
      </w:pPr>
      <w:r>
        <w:rPr>
          <w:rFonts w:hint="eastAsia" w:eastAsiaTheme="minorEastAsia"/>
          <w:sz w:val="21"/>
          <w:szCs w:val="21"/>
          <w:lang w:val="en-US" w:eastAsia="zh-CN"/>
        </w:rPr>
        <w:t>角色系统的核心价值不是数值成长，而是降低识别成本、维持轻松氛围，并为长期运营提供稳定的品牌锚点。</w:t>
      </w:r>
    </w:p>
    <w:p w14:paraId="13E1651E">
      <w:pPr>
        <w:pStyle w:val="3"/>
        <w:bidi w:val="0"/>
        <w:rPr>
          <w:rFonts w:hint="eastAsia"/>
          <w:lang w:val="en-US" w:eastAsia="zh-CN"/>
        </w:rPr>
      </w:pPr>
      <w:bookmarkStart w:id="2" w:name="_Toc20281"/>
      <w:r>
        <w:rPr>
          <w:rFonts w:hint="eastAsia"/>
          <w:lang w:val="en-US" w:eastAsia="zh-CN"/>
        </w:rPr>
        <w:t>1.2玩法系统</w:t>
      </w:r>
      <w:bookmarkEnd w:id="2"/>
    </w:p>
    <w:p w14:paraId="692128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eastAsiaTheme="minorEastAsia"/>
          <w:b/>
          <w:bCs/>
          <w:sz w:val="21"/>
          <w:szCs w:val="21"/>
          <w:lang w:val="en-US" w:eastAsia="zh-CN"/>
        </w:rPr>
      </w:pPr>
      <w:r>
        <w:rPr>
          <w:rFonts w:hint="eastAsia" w:eastAsiaTheme="minorEastAsia"/>
          <w:b/>
          <w:bCs/>
          <w:sz w:val="21"/>
          <w:szCs w:val="21"/>
          <w:lang w:val="en-US" w:eastAsia="zh-CN"/>
        </w:rPr>
        <w:t>1、游戏基础规则和效果</w:t>
      </w:r>
    </w:p>
    <w:p w14:paraId="376DC7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default" w:eastAsiaTheme="minorEastAsia"/>
          <w:sz w:val="21"/>
          <w:szCs w:val="21"/>
          <w:lang w:val="en-US" w:eastAsia="zh-CN"/>
        </w:rPr>
      </w:pPr>
      <w:r>
        <w:rPr>
          <w:rFonts w:hint="default" w:eastAsiaTheme="minorEastAsia"/>
          <w:sz w:val="21"/>
          <w:szCs w:val="21"/>
          <w:lang w:val="en-US" w:eastAsia="zh-CN"/>
        </w:rPr>
        <w:t>游戏的基础规则是交换相邻动物，使三个及以上同色元素横向或纵向连成一线并完成消除。这个规则学习门槛极低，玩家几步操作就能理解，因此很适合全年龄和碎片化场景。</w:t>
      </w:r>
    </w:p>
    <w:p w14:paraId="68DD8A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default" w:eastAsiaTheme="minorEastAsia"/>
          <w:sz w:val="21"/>
          <w:szCs w:val="21"/>
          <w:lang w:val="en-US" w:eastAsia="zh-CN"/>
        </w:rPr>
      </w:pPr>
      <w:r>
        <w:rPr>
          <w:rFonts w:hint="default" w:eastAsiaTheme="minorEastAsia"/>
          <w:sz w:val="21"/>
          <w:szCs w:val="21"/>
          <w:lang w:val="en-US" w:eastAsia="zh-CN"/>
        </w:rPr>
        <w:t>但真正支撑长期体验的并不只是“三个相同即可消除”，而是特效生成、特效组合、障碍目标、步数限制与连锁反馈共同形成的策略空间。四连通常产生直线特效，L/T 型消除可形成爆炸特效，五连则生成高价值特效；特效之间还能通过组合交换制造更高收益。</w:t>
      </w:r>
    </w:p>
    <w:p w14:paraId="650DAD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default" w:eastAsiaTheme="minorEastAsia"/>
          <w:sz w:val="21"/>
          <w:szCs w:val="21"/>
          <w:lang w:val="en-US" w:eastAsia="zh-CN"/>
        </w:rPr>
      </w:pPr>
      <w:r>
        <w:rPr>
          <w:rFonts w:hint="default" w:eastAsiaTheme="minorEastAsia"/>
          <w:sz w:val="21"/>
          <w:szCs w:val="21"/>
          <w:lang w:val="en-US" w:eastAsia="zh-CN"/>
        </w:rPr>
        <w:t>前期关卡更多依靠自然连消来传递惊喜和爽感；中后期则要求玩家主动围绕障碍和目标规划特效。也就是说，《开心消消乐》的玩法深度不是建立在操作复杂度上，而是建立在“看懂局面—形成计划—获得高收益反馈”的决策链条上。</w:t>
      </w:r>
    </w:p>
    <w:p w14:paraId="0BA984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default" w:eastAsiaTheme="minorEastAsia"/>
          <w:sz w:val="21"/>
          <w:szCs w:val="21"/>
          <w:lang w:val="en-US" w:eastAsia="zh-CN"/>
        </w:rPr>
      </w:pPr>
    </w:p>
    <w:tbl>
      <w:tblPr>
        <w:tblStyle w:val="11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01"/>
        <w:gridCol w:w="2844"/>
        <w:gridCol w:w="3777"/>
      </w:tblGrid>
      <w:tr w14:paraId="4FDDFF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01" w:type="dxa"/>
            <w:shd w:val="clear" w:color="auto" w:fill="D4F4F1" w:themeFill="accent5" w:themeFillTint="32"/>
            <w:vAlign w:val="center"/>
          </w:tcPr>
          <w:p w14:paraId="5BD046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玩法层级</w:t>
            </w:r>
          </w:p>
        </w:tc>
        <w:tc>
          <w:tcPr>
            <w:tcW w:w="2844" w:type="dxa"/>
            <w:shd w:val="clear" w:color="auto" w:fill="D4F4F1" w:themeFill="accent5" w:themeFillTint="32"/>
            <w:vAlign w:val="center"/>
          </w:tcPr>
          <w:p w14:paraId="46CF78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玩家行为</w:t>
            </w:r>
          </w:p>
        </w:tc>
        <w:tc>
          <w:tcPr>
            <w:tcW w:w="3777" w:type="dxa"/>
            <w:shd w:val="clear" w:color="auto" w:fill="D4F4F1" w:themeFill="accent5" w:themeFillTint="32"/>
            <w:vAlign w:val="center"/>
          </w:tcPr>
          <w:p w14:paraId="67F267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系统价值</w:t>
            </w:r>
          </w:p>
        </w:tc>
      </w:tr>
      <w:tr w14:paraId="67F215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01" w:type="dxa"/>
            <w:vAlign w:val="center"/>
          </w:tcPr>
          <w:p w14:paraId="7E7C6F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基础消除</w:t>
            </w:r>
          </w:p>
        </w:tc>
        <w:tc>
          <w:tcPr>
            <w:tcW w:w="2844" w:type="dxa"/>
            <w:vAlign w:val="center"/>
          </w:tcPr>
          <w:p w14:paraId="72D0AE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交换相邻棋子，形成三连消除。</w:t>
            </w:r>
          </w:p>
        </w:tc>
        <w:tc>
          <w:tcPr>
            <w:tcW w:w="3777" w:type="dxa"/>
            <w:vAlign w:val="center"/>
          </w:tcPr>
          <w:p w14:paraId="5D657A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提供最低学习成本和即时反馈。</w:t>
            </w:r>
          </w:p>
        </w:tc>
      </w:tr>
      <w:tr w14:paraId="2D6017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01" w:type="dxa"/>
            <w:vAlign w:val="center"/>
          </w:tcPr>
          <w:p w14:paraId="2A6EC5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特效生成</w:t>
            </w:r>
          </w:p>
        </w:tc>
        <w:tc>
          <w:tcPr>
            <w:tcW w:w="2844" w:type="dxa"/>
            <w:vAlign w:val="center"/>
          </w:tcPr>
          <w:p w14:paraId="14D93A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四连、五连、L/T形消除形成特殊棋子。</w:t>
            </w:r>
          </w:p>
        </w:tc>
        <w:tc>
          <w:tcPr>
            <w:tcW w:w="3777" w:type="dxa"/>
            <w:vAlign w:val="center"/>
          </w:tcPr>
          <w:p w14:paraId="59D159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提升操作收益，制造爽感与策略深度。</w:t>
            </w:r>
          </w:p>
        </w:tc>
      </w:tr>
      <w:tr w14:paraId="1BA3BF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01" w:type="dxa"/>
            <w:vAlign w:val="center"/>
          </w:tcPr>
          <w:p w14:paraId="55220E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特效组合</w:t>
            </w:r>
          </w:p>
        </w:tc>
        <w:tc>
          <w:tcPr>
            <w:tcW w:w="2844" w:type="dxa"/>
            <w:vAlign w:val="center"/>
          </w:tcPr>
          <w:p w14:paraId="0D58D3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两个特殊棋子交换触发更强效果。</w:t>
            </w:r>
          </w:p>
        </w:tc>
        <w:tc>
          <w:tcPr>
            <w:tcW w:w="3777" w:type="dxa"/>
            <w:vAlign w:val="center"/>
          </w:tcPr>
          <w:p w14:paraId="1F412D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成为高难关卡的核心破局方式。</w:t>
            </w:r>
          </w:p>
        </w:tc>
      </w:tr>
      <w:tr w14:paraId="3E142A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01" w:type="dxa"/>
            <w:vAlign w:val="center"/>
          </w:tcPr>
          <w:p w14:paraId="4AD243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目标约束</w:t>
            </w:r>
          </w:p>
        </w:tc>
        <w:tc>
          <w:tcPr>
            <w:tcW w:w="2844" w:type="dxa"/>
            <w:vAlign w:val="center"/>
          </w:tcPr>
          <w:p w14:paraId="4B0A91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在限定步数内清除障碍、收集元素或完成掉落。</w:t>
            </w:r>
          </w:p>
        </w:tc>
        <w:tc>
          <w:tcPr>
            <w:tcW w:w="3777" w:type="dxa"/>
            <w:vAlign w:val="center"/>
          </w:tcPr>
          <w:p w14:paraId="6423C3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将单纯消除转化为关卡解题。</w:t>
            </w:r>
          </w:p>
        </w:tc>
      </w:tr>
    </w:tbl>
    <w:p w14:paraId="2A72B7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</w:pPr>
    </w:p>
    <w:p w14:paraId="5FCF99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</w:pPr>
      <w:r>
        <w:drawing>
          <wp:inline distT="0" distB="0" distL="114300" distR="114300">
            <wp:extent cx="5299075" cy="1656080"/>
            <wp:effectExtent l="0" t="0" r="15875" b="127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165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DD7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/>
          <w:lang w:val="en-US" w:eastAsia="zh-CN"/>
        </w:rPr>
      </w:pPr>
    </w:p>
    <w:p w14:paraId="087074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eastAsiaTheme="minorEastAsia"/>
          <w:b/>
          <w:bCs/>
          <w:sz w:val="21"/>
          <w:szCs w:val="21"/>
          <w:lang w:val="en-US" w:eastAsia="zh-CN"/>
        </w:rPr>
      </w:pPr>
      <w:r>
        <w:rPr>
          <w:rFonts w:hint="eastAsia" w:eastAsiaTheme="minorEastAsia"/>
          <w:b/>
          <w:bCs/>
          <w:sz w:val="21"/>
          <w:szCs w:val="21"/>
          <w:lang w:val="en-US" w:eastAsia="zh-CN"/>
        </w:rPr>
        <w:t>2、小动物存在不同的表现效果</w:t>
      </w:r>
    </w:p>
    <w:p w14:paraId="5F1EC7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eastAsiaTheme="minorEastAsia"/>
          <w:sz w:val="21"/>
          <w:szCs w:val="21"/>
          <w:lang w:val="en-US" w:eastAsia="zh-CN"/>
        </w:rPr>
      </w:pPr>
      <w:r>
        <w:rPr>
          <w:rFonts w:hint="eastAsia" w:eastAsiaTheme="minorEastAsia"/>
          <w:sz w:val="21"/>
          <w:szCs w:val="21"/>
          <w:lang w:val="en-US" w:eastAsia="zh-CN"/>
        </w:rPr>
        <w:t>小动物和特效棋子在局内会通过表情、动作和特效形式呈现不同状态。这里的重点不是装饰，而是“状态可视化”</w:t>
      </w:r>
      <w:r>
        <w:rPr>
          <w:rFonts w:hint="eastAsia"/>
          <w:sz w:val="21"/>
          <w:szCs w:val="21"/>
          <w:lang w:val="en-US" w:eastAsia="zh-CN"/>
        </w:rPr>
        <w:t>。</w:t>
      </w:r>
      <w:r>
        <w:rPr>
          <w:rFonts w:hint="eastAsia" w:eastAsiaTheme="minorEastAsia"/>
          <w:sz w:val="21"/>
          <w:szCs w:val="21"/>
          <w:lang w:val="en-US" w:eastAsia="zh-CN"/>
        </w:rPr>
        <w:t>玩家不需要停下来阅读文字说明，只要看见形态差异，就能理解棋子的作用。</w:t>
      </w:r>
    </w:p>
    <w:p w14:paraId="437EBA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eastAsiaTheme="minorEastAsia"/>
          <w:sz w:val="21"/>
          <w:szCs w:val="21"/>
          <w:lang w:val="en-US" w:eastAsia="zh-CN"/>
        </w:rPr>
      </w:pPr>
      <w:r>
        <w:rPr>
          <w:rFonts w:hint="eastAsia" w:eastAsiaTheme="minorEastAsia"/>
          <w:sz w:val="21"/>
          <w:szCs w:val="21"/>
          <w:lang w:val="en-US" w:eastAsia="zh-CN"/>
        </w:rPr>
        <w:t>这类视觉反馈大幅降低了教程成本，也让高速消除过程更顺畅。对于休闲产品来说，优秀的说明不是把规则写得越多越好，而是让玩家在游玩中自然看懂。</w:t>
      </w:r>
    </w:p>
    <w:p w14:paraId="229B5A2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eastAsiaTheme="minorEastAsia"/>
          <w:sz w:val="21"/>
          <w:szCs w:val="21"/>
          <w:lang w:val="en-US" w:eastAsia="zh-CN"/>
        </w:rPr>
      </w:pPr>
      <w:r>
        <w:rPr>
          <w:rFonts w:hint="eastAsia" w:eastAsiaTheme="minorEastAsia"/>
          <w:sz w:val="21"/>
          <w:szCs w:val="21"/>
          <w:lang w:val="en-US" w:eastAsia="zh-CN"/>
        </w:rPr>
        <w:t xml:space="preserve"> </w:t>
      </w:r>
      <w:r>
        <w:rPr>
          <w:rFonts w:hint="eastAsia" w:eastAsiaTheme="minorEastAsia"/>
          <w:sz w:val="21"/>
          <w:szCs w:val="21"/>
          <w:lang w:val="en-US" w:eastAsia="zh-CN"/>
        </w:rPr>
        <w:drawing>
          <wp:inline distT="0" distB="0" distL="114300" distR="114300">
            <wp:extent cx="859790" cy="917575"/>
            <wp:effectExtent l="0" t="0" r="16510" b="1587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59790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1"/>
          <w:szCs w:val="21"/>
          <w:lang w:val="en-US" w:eastAsia="zh-CN"/>
        </w:rPr>
        <w:t xml:space="preserve">     </w:t>
      </w:r>
      <w:r>
        <w:rPr>
          <w:rFonts w:hint="eastAsia" w:eastAsiaTheme="minorEastAsia"/>
          <w:sz w:val="21"/>
          <w:szCs w:val="21"/>
          <w:lang w:val="en-US" w:eastAsia="zh-CN"/>
        </w:rPr>
        <w:drawing>
          <wp:inline distT="0" distB="0" distL="114300" distR="114300">
            <wp:extent cx="998220" cy="918845"/>
            <wp:effectExtent l="0" t="0" r="11430" b="1460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98220" cy="91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1"/>
          <w:szCs w:val="21"/>
          <w:lang w:val="en-US" w:eastAsia="zh-CN"/>
        </w:rPr>
        <w:t xml:space="preserve">     </w:t>
      </w:r>
      <w:r>
        <w:rPr>
          <w:rFonts w:hint="eastAsia" w:eastAsiaTheme="minorEastAsia"/>
          <w:sz w:val="21"/>
          <w:szCs w:val="21"/>
          <w:lang w:val="en-US" w:eastAsia="zh-CN"/>
        </w:rPr>
        <w:drawing>
          <wp:inline distT="0" distB="0" distL="114300" distR="114300">
            <wp:extent cx="920115" cy="920115"/>
            <wp:effectExtent l="0" t="0" r="13335" b="1333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20115" cy="92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1"/>
          <w:szCs w:val="21"/>
          <w:lang w:val="en-US" w:eastAsia="zh-CN"/>
        </w:rPr>
        <w:t xml:space="preserve">     </w:t>
      </w:r>
      <w:r>
        <w:rPr>
          <w:rFonts w:hint="eastAsia" w:eastAsiaTheme="minorEastAsia"/>
          <w:sz w:val="21"/>
          <w:szCs w:val="21"/>
          <w:lang w:val="en-US" w:eastAsia="zh-CN"/>
        </w:rPr>
        <w:drawing>
          <wp:inline distT="0" distB="0" distL="114300" distR="114300">
            <wp:extent cx="920115" cy="904240"/>
            <wp:effectExtent l="0" t="0" r="13335" b="101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20115" cy="90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DB4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eastAsiaTheme="minorEastAsia"/>
          <w:b/>
          <w:bCs/>
          <w:sz w:val="21"/>
          <w:szCs w:val="21"/>
          <w:lang w:val="en-US" w:eastAsia="zh-CN"/>
        </w:rPr>
      </w:pPr>
      <w:r>
        <w:rPr>
          <w:rFonts w:hint="eastAsia" w:eastAsiaTheme="minorEastAsia"/>
          <w:b/>
          <w:bCs/>
          <w:sz w:val="21"/>
          <w:szCs w:val="21"/>
          <w:lang w:val="en-US" w:eastAsia="zh-CN"/>
        </w:rPr>
        <w:t>3、优秀的游戏氛围</w:t>
      </w:r>
    </w:p>
    <w:p w14:paraId="0A142BC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eastAsiaTheme="minorEastAsia"/>
          <w:sz w:val="21"/>
          <w:szCs w:val="21"/>
          <w:lang w:val="en-US" w:eastAsia="zh-CN"/>
        </w:rPr>
      </w:pPr>
      <w:r>
        <w:rPr>
          <w:rFonts w:hint="eastAsia" w:eastAsiaTheme="minorEastAsia"/>
          <w:sz w:val="21"/>
          <w:szCs w:val="21"/>
          <w:lang w:val="en-US" w:eastAsia="zh-CN"/>
        </w:rPr>
        <w:t>《开心消消乐》通过连续消除音效、连锁爆炸、动物表情和结算动画制造高密度正反馈。一次普通交换如果触发连锁，系统会持续放大奖励信号，让玩家感到自己的操作“被看见、被放大、被奖励”。</w:t>
      </w:r>
    </w:p>
    <w:p w14:paraId="4267B6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eastAsiaTheme="minorEastAsia"/>
          <w:sz w:val="21"/>
          <w:szCs w:val="21"/>
          <w:lang w:val="en-US" w:eastAsia="zh-CN"/>
        </w:rPr>
      </w:pPr>
      <w:r>
        <w:rPr>
          <w:rFonts w:hint="eastAsia" w:eastAsiaTheme="minorEastAsia"/>
          <w:sz w:val="21"/>
          <w:szCs w:val="21"/>
          <w:lang w:val="en-US" w:eastAsia="zh-CN"/>
        </w:rPr>
        <w:t>从情绪设计角度看，它的氛围关键词是“轻松、明亮、正向”。这种氛围与三消玩法高度匹配，也是它长期维持国民级休闲产品定位的重要基础。</w:t>
      </w:r>
    </w:p>
    <w:p w14:paraId="239CFA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eastAsiaTheme="minor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 xml:space="preserve">   </w:t>
      </w:r>
      <w:r>
        <w:rPr>
          <w:rFonts w:hint="eastAsia" w:eastAsiaTheme="minorEastAsia"/>
          <w:sz w:val="21"/>
          <w:szCs w:val="21"/>
          <w:lang w:val="en-US" w:eastAsia="zh-CN"/>
        </w:rPr>
        <w:drawing>
          <wp:inline distT="0" distB="0" distL="114300" distR="114300">
            <wp:extent cx="1646555" cy="3564255"/>
            <wp:effectExtent l="0" t="0" r="10795" b="17145"/>
            <wp:docPr id="45" name="图片 45" descr="IMG_3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IMG_376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46555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1"/>
          <w:lang w:val="en-US" w:eastAsia="zh-CN"/>
        </w:rPr>
        <w:t xml:space="preserve">            </w:t>
      </w:r>
      <w:r>
        <w:rPr>
          <w:rFonts w:hint="eastAsia" w:eastAsiaTheme="minorEastAsia"/>
          <w:sz w:val="21"/>
          <w:szCs w:val="21"/>
          <w:lang w:val="en-US" w:eastAsia="zh-CN"/>
        </w:rPr>
        <w:drawing>
          <wp:inline distT="0" distB="0" distL="114300" distR="114300">
            <wp:extent cx="1642110" cy="3556000"/>
            <wp:effectExtent l="0" t="0" r="15240" b="6350"/>
            <wp:docPr id="46" name="图片 46" descr="IMG_3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IMG_376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4211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BC5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eastAsiaTheme="minorEastAsia"/>
          <w:b/>
          <w:bCs/>
          <w:sz w:val="21"/>
          <w:szCs w:val="21"/>
          <w:lang w:val="en-US" w:eastAsia="zh-CN"/>
        </w:rPr>
        <w:t>4、</w:t>
      </w:r>
      <w:r>
        <w:rPr>
          <w:rFonts w:hint="eastAsia"/>
          <w:b/>
          <w:bCs/>
          <w:sz w:val="21"/>
          <w:szCs w:val="21"/>
          <w:lang w:val="en-US" w:eastAsia="zh-CN"/>
        </w:rPr>
        <w:t>游戏</w:t>
      </w:r>
      <w:r>
        <w:rPr>
          <w:rFonts w:hint="eastAsia" w:eastAsiaTheme="minorEastAsia"/>
          <w:b/>
          <w:bCs/>
          <w:sz w:val="21"/>
          <w:szCs w:val="21"/>
          <w:lang w:val="en-US" w:eastAsia="zh-CN"/>
        </w:rPr>
        <w:t>后期体验</w:t>
      </w:r>
      <w:r>
        <w:rPr>
          <w:rFonts w:hint="eastAsia"/>
          <w:b/>
          <w:bCs/>
          <w:sz w:val="21"/>
          <w:szCs w:val="21"/>
          <w:lang w:val="en-US" w:eastAsia="zh-CN"/>
        </w:rPr>
        <w:t>存在</w:t>
      </w:r>
      <w:r>
        <w:rPr>
          <w:rFonts w:hint="eastAsia" w:eastAsiaTheme="minorEastAsia"/>
          <w:b/>
          <w:bCs/>
          <w:sz w:val="21"/>
          <w:szCs w:val="21"/>
          <w:lang w:val="en-US" w:eastAsia="zh-CN"/>
        </w:rPr>
        <w:t>落差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</w:p>
    <w:p w14:paraId="25DD26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eastAsiaTheme="minorEastAsia"/>
          <w:sz w:val="21"/>
          <w:szCs w:val="21"/>
          <w:lang w:val="en-US" w:eastAsia="zh-CN"/>
        </w:rPr>
      </w:pPr>
      <w:r>
        <w:rPr>
          <w:rFonts w:hint="eastAsia" w:eastAsiaTheme="minorEastAsia"/>
          <w:sz w:val="21"/>
          <w:szCs w:val="21"/>
          <w:lang w:val="en-US" w:eastAsia="zh-CN"/>
        </w:rPr>
        <w:t>随着关卡数量持续增长，后期关卡必须通过更复杂的障碍组合和更紧的步数限制维持挑战。但当障碍密度、目标数量和随机盘面压力同时上升时，玩家容易产生“策略空间不足”的感受。</w:t>
      </w:r>
    </w:p>
    <w:p w14:paraId="10517B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eastAsiaTheme="minorEastAsia"/>
          <w:sz w:val="21"/>
          <w:szCs w:val="21"/>
          <w:lang w:val="en-US" w:eastAsia="zh-CN"/>
        </w:rPr>
      </w:pPr>
      <w:r>
        <w:rPr>
          <w:rFonts w:hint="eastAsia" w:eastAsiaTheme="minorEastAsia"/>
          <w:sz w:val="21"/>
          <w:szCs w:val="21"/>
          <w:lang w:val="en-US" w:eastAsia="zh-CN"/>
        </w:rPr>
        <w:t>后期问题的关键不是难度本身，而是玩家是否能复盘失败。如果玩家知道“我该先处理哪类障碍、应该在哪里合成特效”，失败会转化为学习；如果只能反复重开等待好盘面，失败就会被归因为运气。优秀的高难关卡应该仍然保留可观察、可规划、可复盘的解题路径。</w:t>
      </w:r>
    </w:p>
    <w:p w14:paraId="59FE9E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eastAsiaTheme="minorEastAsia"/>
          <w:sz w:val="21"/>
          <w:szCs w:val="21"/>
          <w:lang w:val="en-US" w:eastAsia="zh-CN"/>
        </w:rPr>
      </w:pPr>
    </w:p>
    <w:p w14:paraId="2AE673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黑体" w:hAnsi="黑体" w:eastAsia="黑体" w:cs="黑体"/>
          <w:b/>
          <w:bCs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4992370" cy="2014220"/>
            <wp:effectExtent l="0" t="0" r="17780" b="5080"/>
            <wp:docPr id="40" name="图片 40" descr="78AB05B4185C2FF8F2D0D025DE4EDF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78AB05B4185C2FF8F2D0D025DE4EDF9C"/>
                    <pic:cNvPicPr>
                      <a:picLocks noChangeAspect="1"/>
                    </pic:cNvPicPr>
                  </pic:nvPicPr>
                  <pic:blipFill>
                    <a:blip r:embed="rId19"/>
                    <a:srcRect t="11751" b="16567"/>
                    <a:stretch>
                      <a:fillRect/>
                    </a:stretch>
                  </pic:blipFill>
                  <pic:spPr>
                    <a:xfrm>
                      <a:off x="0" y="0"/>
                      <a:ext cx="4992370" cy="201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8F839">
      <w:pPr>
        <w:pStyle w:val="3"/>
        <w:bidi w:val="0"/>
        <w:rPr>
          <w:rFonts w:hint="eastAsia"/>
          <w:lang w:val="en-US" w:eastAsia="zh-CN"/>
        </w:rPr>
      </w:pPr>
      <w:bookmarkStart w:id="3" w:name="_Toc12348"/>
      <w:r>
        <w:rPr>
          <w:rFonts w:hint="eastAsia"/>
          <w:lang w:val="en-US" w:eastAsia="zh-CN"/>
        </w:rPr>
        <w:t>1.3道具系统</w:t>
      </w:r>
      <w:bookmarkEnd w:id="3"/>
    </w:p>
    <w:p w14:paraId="26C03485">
      <w:pPr>
        <w:jc w:val="both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1、</w:t>
      </w:r>
      <w:r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  <w:t>道具类型</w:t>
      </w:r>
    </w:p>
    <w:p w14:paraId="3ABB19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default" w:eastAsiaTheme="minorEastAsia"/>
          <w:sz w:val="21"/>
          <w:szCs w:val="21"/>
          <w:lang w:val="en-US" w:eastAsia="zh-CN"/>
        </w:rPr>
      </w:pPr>
      <w:r>
        <w:rPr>
          <w:rFonts w:hint="default" w:eastAsiaTheme="minorEastAsia"/>
          <w:sz w:val="21"/>
          <w:szCs w:val="21"/>
          <w:lang w:val="en-US" w:eastAsia="zh-CN"/>
        </w:rPr>
        <w:t>道具系统是关卡失败体验的重要缓冲器，也是经济系统承接商业化的重要接口。它的设计目标不应是替代玩家思考，而是在玩家接近通关、局面被关键障碍卡住，或只差少量步数时，提供可控的补救手段。</w:t>
      </w:r>
    </w:p>
    <w:p w14:paraId="72A047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default" w:eastAsiaTheme="minorEastAsia"/>
          <w:sz w:val="21"/>
          <w:szCs w:val="21"/>
          <w:lang w:val="en-US" w:eastAsia="zh-CN"/>
        </w:rPr>
      </w:pPr>
    </w:p>
    <w:tbl>
      <w:tblPr>
        <w:tblStyle w:val="11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5"/>
        <w:gridCol w:w="1773"/>
        <w:gridCol w:w="2635"/>
        <w:gridCol w:w="2439"/>
      </w:tblGrid>
      <w:tr w14:paraId="383F12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71" w:type="dxa"/>
            <w:shd w:val="clear" w:color="auto" w:fill="D4F4F1" w:themeFill="accent5" w:themeFillTint="32"/>
            <w:vAlign w:val="center"/>
          </w:tcPr>
          <w:p w14:paraId="281F5D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道具类型</w:t>
            </w:r>
          </w:p>
        </w:tc>
        <w:tc>
          <w:tcPr>
            <w:tcW w:w="1984" w:type="dxa"/>
            <w:shd w:val="clear" w:color="auto" w:fill="D4F4F1" w:themeFill="accent5" w:themeFillTint="32"/>
            <w:vAlign w:val="center"/>
          </w:tcPr>
          <w:p w14:paraId="31B78D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使用阶段</w:t>
            </w:r>
          </w:p>
        </w:tc>
        <w:tc>
          <w:tcPr>
            <w:tcW w:w="2948" w:type="dxa"/>
            <w:shd w:val="clear" w:color="auto" w:fill="D4F4F1" w:themeFill="accent5" w:themeFillTint="32"/>
            <w:vAlign w:val="center"/>
          </w:tcPr>
          <w:p w14:paraId="0720E6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系统作用</w:t>
            </w:r>
          </w:p>
        </w:tc>
        <w:tc>
          <w:tcPr>
            <w:tcW w:w="2721" w:type="dxa"/>
            <w:shd w:val="clear" w:color="auto" w:fill="D4F4F1" w:themeFill="accent5" w:themeFillTint="32"/>
            <w:vAlign w:val="center"/>
          </w:tcPr>
          <w:p w14:paraId="06FBBD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风险点</w:t>
            </w:r>
          </w:p>
        </w:tc>
      </w:tr>
      <w:tr w14:paraId="7688C1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71" w:type="dxa"/>
            <w:vAlign w:val="center"/>
          </w:tcPr>
          <w:p w14:paraId="3F3C5A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开局前道具</w:t>
            </w:r>
          </w:p>
        </w:tc>
        <w:tc>
          <w:tcPr>
            <w:tcW w:w="1984" w:type="dxa"/>
            <w:vAlign w:val="center"/>
          </w:tcPr>
          <w:p w14:paraId="7D019D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进入关卡前</w:t>
            </w:r>
          </w:p>
        </w:tc>
        <w:tc>
          <w:tcPr>
            <w:tcW w:w="2948" w:type="dxa"/>
            <w:vAlign w:val="center"/>
          </w:tcPr>
          <w:p w14:paraId="1ED4D3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改善初始局面，提高首局成功率。</w:t>
            </w:r>
          </w:p>
        </w:tc>
        <w:tc>
          <w:tcPr>
            <w:tcW w:w="2721" w:type="dxa"/>
            <w:vAlign w:val="center"/>
          </w:tcPr>
          <w:p w14:paraId="58A7BD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过强会削弱关卡本身的设计价值。</w:t>
            </w:r>
          </w:p>
        </w:tc>
      </w:tr>
      <w:tr w14:paraId="16FA86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71" w:type="dxa"/>
            <w:vAlign w:val="center"/>
          </w:tcPr>
          <w:p w14:paraId="14D5DD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局内道具</w:t>
            </w:r>
          </w:p>
        </w:tc>
        <w:tc>
          <w:tcPr>
            <w:tcW w:w="1984" w:type="dxa"/>
            <w:vAlign w:val="center"/>
          </w:tcPr>
          <w:p w14:paraId="53C1C4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关卡进行中</w:t>
            </w:r>
          </w:p>
        </w:tc>
        <w:tc>
          <w:tcPr>
            <w:tcW w:w="2948" w:type="dxa"/>
            <w:vAlign w:val="center"/>
          </w:tcPr>
          <w:p w14:paraId="325A81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处理关键障碍、修正失误、扩大特效收益。</w:t>
            </w:r>
          </w:p>
        </w:tc>
        <w:tc>
          <w:tcPr>
            <w:tcW w:w="2721" w:type="dxa"/>
            <w:vAlign w:val="center"/>
          </w:tcPr>
          <w:p w14:paraId="64374F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价格过高会形成资源焦虑。</w:t>
            </w:r>
          </w:p>
        </w:tc>
      </w:tr>
      <w:tr w14:paraId="7BAD55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71" w:type="dxa"/>
            <w:vAlign w:val="center"/>
          </w:tcPr>
          <w:p w14:paraId="01AE57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限时道具/礼包道具</w:t>
            </w:r>
          </w:p>
        </w:tc>
        <w:tc>
          <w:tcPr>
            <w:tcW w:w="1984" w:type="dxa"/>
            <w:vAlign w:val="center"/>
          </w:tcPr>
          <w:p w14:paraId="7478C3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活动或礼包获得后限时使用</w:t>
            </w:r>
          </w:p>
        </w:tc>
        <w:tc>
          <w:tcPr>
            <w:tcW w:w="2948" w:type="dxa"/>
            <w:vAlign w:val="center"/>
          </w:tcPr>
          <w:p w14:paraId="564453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制造短期登录和即时使用动机。</w:t>
            </w:r>
          </w:p>
        </w:tc>
        <w:tc>
          <w:tcPr>
            <w:tcW w:w="2721" w:type="dxa"/>
            <w:vAlign w:val="center"/>
          </w:tcPr>
          <w:p w14:paraId="6E5544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过多限时资源会增加压力感。</w:t>
            </w:r>
          </w:p>
        </w:tc>
      </w:tr>
      <w:tr w14:paraId="255BA9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71" w:type="dxa"/>
            <w:vAlign w:val="center"/>
          </w:tcPr>
          <w:p w14:paraId="0632CA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额外步数/续关补给</w:t>
            </w:r>
          </w:p>
        </w:tc>
        <w:tc>
          <w:tcPr>
            <w:tcW w:w="1984" w:type="dxa"/>
            <w:vAlign w:val="center"/>
          </w:tcPr>
          <w:p w14:paraId="45A294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失败边缘或结算前</w:t>
            </w:r>
          </w:p>
        </w:tc>
        <w:tc>
          <w:tcPr>
            <w:tcW w:w="2948" w:type="dxa"/>
            <w:vAlign w:val="center"/>
          </w:tcPr>
          <w:p w14:paraId="770561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把“差一点成功”转化为继续尝试。</w:t>
            </w:r>
          </w:p>
        </w:tc>
        <w:tc>
          <w:tcPr>
            <w:tcW w:w="2721" w:type="dxa"/>
            <w:vAlign w:val="center"/>
          </w:tcPr>
          <w:p w14:paraId="146282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提示过强时容易被理解为逼付费。</w:t>
            </w:r>
          </w:p>
        </w:tc>
      </w:tr>
    </w:tbl>
    <w:p w14:paraId="02414F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default" w:eastAsiaTheme="minorEastAsia"/>
          <w:sz w:val="21"/>
          <w:szCs w:val="21"/>
          <w:lang w:val="en-US" w:eastAsia="zh-CN"/>
        </w:rPr>
      </w:pPr>
    </w:p>
    <w:p w14:paraId="644184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default" w:eastAsiaTheme="minorEastAsia"/>
          <w:sz w:val="21"/>
          <w:szCs w:val="21"/>
          <w:lang w:val="en-US" w:eastAsia="zh-CN"/>
        </w:rPr>
      </w:pPr>
      <w:r>
        <w:rPr>
          <w:rFonts w:hint="default" w:eastAsiaTheme="minorEastAsia"/>
          <w:sz w:val="21"/>
          <w:szCs w:val="21"/>
          <w:lang w:val="en-US" w:eastAsia="zh-CN"/>
        </w:rPr>
        <w:t>这些道具的优点在于，大多仍围绕原有消除规则生效，并没有直接跳过核心玩法。玩家使用道具后仍然要完成棋盘目标，这保证了道具是“辅助解题”，而不是“替代玩法”。</w:t>
      </w:r>
    </w:p>
    <w:p w14:paraId="62F8886D">
      <w:pPr>
        <w:ind w:firstLine="480" w:firstLineChars="200"/>
        <w:jc w:val="both"/>
        <w:rPr>
          <w:rFonts w:hint="default"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868045" cy="852805"/>
            <wp:effectExtent l="0" t="0" r="8255" b="4445"/>
            <wp:docPr id="21" name="图片 21" descr="IMG_3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3751"/>
                    <pic:cNvPicPr>
                      <a:picLocks noChangeAspect="1"/>
                    </pic:cNvPicPr>
                  </pic:nvPicPr>
                  <pic:blipFill>
                    <a:blip r:embed="rId20"/>
                    <a:srcRect l="7414" t="30507" r="71382" b="59867"/>
                    <a:stretch>
                      <a:fillRect/>
                    </a:stretch>
                  </pic:blipFill>
                  <pic:spPr>
                    <a:xfrm>
                      <a:off x="0" y="0"/>
                      <a:ext cx="868045" cy="85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t xml:space="preserve">     </w:t>
      </w:r>
      <w:r>
        <w:rPr>
          <w:rFonts w:hint="eastAsia"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868045" cy="852805"/>
            <wp:effectExtent l="0" t="0" r="8255" b="4445"/>
            <wp:docPr id="22" name="图片 22" descr="IMG_3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3751"/>
                    <pic:cNvPicPr>
                      <a:picLocks noChangeAspect="1"/>
                    </pic:cNvPicPr>
                  </pic:nvPicPr>
                  <pic:blipFill>
                    <a:blip r:embed="rId20"/>
                    <a:srcRect l="28478" t="30600" r="50318" b="59773"/>
                    <a:stretch>
                      <a:fillRect/>
                    </a:stretch>
                  </pic:blipFill>
                  <pic:spPr>
                    <a:xfrm>
                      <a:off x="0" y="0"/>
                      <a:ext cx="868045" cy="85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t xml:space="preserve">     </w:t>
      </w:r>
      <w:r>
        <w:rPr>
          <w:rFonts w:hint="eastAsia"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868045" cy="852805"/>
            <wp:effectExtent l="0" t="0" r="8255" b="4445"/>
            <wp:docPr id="23" name="图片 23" descr="IMG_3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3751"/>
                    <pic:cNvPicPr>
                      <a:picLocks noChangeAspect="1"/>
                    </pic:cNvPicPr>
                  </pic:nvPicPr>
                  <pic:blipFill>
                    <a:blip r:embed="rId20"/>
                    <a:srcRect l="49124" t="30600" r="29673" b="59773"/>
                    <a:stretch>
                      <a:fillRect/>
                    </a:stretch>
                  </pic:blipFill>
                  <pic:spPr>
                    <a:xfrm>
                      <a:off x="0" y="0"/>
                      <a:ext cx="868045" cy="85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t xml:space="preserve">     </w:t>
      </w:r>
      <w:r>
        <w:rPr>
          <w:rFonts w:hint="eastAsia"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868045" cy="852805"/>
            <wp:effectExtent l="0" t="0" r="8255" b="4445"/>
            <wp:docPr id="24" name="图片 24" descr="IMG_3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3751"/>
                    <pic:cNvPicPr>
                      <a:picLocks noChangeAspect="1"/>
                    </pic:cNvPicPr>
                  </pic:nvPicPr>
                  <pic:blipFill>
                    <a:blip r:embed="rId20"/>
                    <a:srcRect l="70188" t="30693" r="8609" b="59680"/>
                    <a:stretch>
                      <a:fillRect/>
                    </a:stretch>
                  </pic:blipFill>
                  <pic:spPr>
                    <a:xfrm>
                      <a:off x="0" y="0"/>
                      <a:ext cx="868045" cy="85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BF885">
      <w:pPr>
        <w:jc w:val="both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2、</w:t>
      </w:r>
      <w:r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  <w:t>精力瓶系统</w:t>
      </w:r>
    </w:p>
    <w:p w14:paraId="58D4BE4B">
      <w:pPr>
        <w:ind w:firstLine="420" w:firstLineChars="200"/>
        <w:jc w:val="both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精力瓶是控制玩家游戏时长的核心消耗品，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主要</w:t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分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为</w:t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三级：初级回1点、中级回5点、高级回30点。满体力30时不能用，避免囤积。</w:t>
      </w:r>
    </w:p>
    <w:p w14:paraId="4D695A7E">
      <w:pPr>
        <w:ind w:firstLine="420" w:firstLineChars="200"/>
        <w:jc w:val="both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精力瓶本质上属于体力补给工具，也是节奏控制的一部分。它承担“游玩门票”和“回流节奏控制”的双重作用：一方面，玩家进入关卡要消耗精力；另一方面，系统也通过精力回复、好友赠送、活动领取、果树产出等方式维持回流。</w:t>
      </w:r>
    </w:p>
    <w:p w14:paraId="207CC453">
      <w:pPr>
        <w:ind w:firstLine="420" w:firstLineChars="200"/>
        <w:jc w:val="both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这意味着体力系统并不是单一的付费门槛，而是与社交、活动、果树、关卡返还共同构成资源循环。问题主要出现在卡关场景：连续失败已经带来负面情绪，如果此时再被体力中断，挫败感会被进一步放大。</w:t>
      </w:r>
    </w:p>
    <w:p w14:paraId="05B75B56">
      <w:pPr>
        <w:ind w:firstLine="420" w:firstLineChars="200"/>
        <w:jc w:val="both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因此，道具系统和精力系统应当协同设计：在玩家最想继续挑战的时候，系统需要提供更柔和的缓冲，例如活动补给、好友求助、限时免费尝试或低成本续关，而不是单纯切断体验。</w:t>
      </w:r>
    </w:p>
    <w:p w14:paraId="6C9BCE89">
      <w:pPr>
        <w:ind w:firstLine="420" w:firstLineChars="200"/>
        <w:jc w:val="both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道具系统最好的状态不是“替玩家通关”，而是在临界失败时保留玩家的尝试意愿。</w:t>
      </w:r>
    </w:p>
    <w:p w14:paraId="4A468DD2">
      <w:pPr>
        <w:ind w:firstLine="420" w:firstLineChars="200"/>
        <w:jc w:val="both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 w14:paraId="6688948A">
      <w:pPr>
        <w:jc w:val="both"/>
        <w:rPr>
          <w:rFonts w:hint="eastAsia"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t xml:space="preserve">              </w:t>
      </w:r>
      <w:r>
        <w:rPr>
          <w:rFonts w:hint="eastAsia"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868045" cy="852805"/>
            <wp:effectExtent l="0" t="0" r="0" b="0"/>
            <wp:docPr id="20" name="图片 20" descr="IMG_3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3751"/>
                    <pic:cNvPicPr>
                      <a:picLocks noChangeAspect="1"/>
                    </pic:cNvPicPr>
                  </pic:nvPicPr>
                  <pic:blipFill>
                    <a:blip r:embed="rId20"/>
                    <a:srcRect l="7600" t="40148" r="71196" b="50226"/>
                    <a:stretch>
                      <a:fillRect/>
                    </a:stretch>
                  </pic:blipFill>
                  <pic:spPr>
                    <a:xfrm>
                      <a:off x="0" y="0"/>
                      <a:ext cx="868045" cy="85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t xml:space="preserve">            </w:t>
      </w:r>
      <w:r>
        <w:rPr>
          <w:rFonts w:hint="eastAsia"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1494155" cy="828675"/>
            <wp:effectExtent l="0" t="0" r="10795" b="9525"/>
            <wp:docPr id="47" name="图片 47" descr="IMG_3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IMG_3766"/>
                    <pic:cNvPicPr>
                      <a:picLocks noChangeAspect="1"/>
                    </pic:cNvPicPr>
                  </pic:nvPicPr>
                  <pic:blipFill>
                    <a:blip r:embed="rId21"/>
                    <a:srcRect l="1404" t="3952" r="73748" b="89680"/>
                    <a:stretch>
                      <a:fillRect/>
                    </a:stretch>
                  </pic:blipFill>
                  <pic:spPr>
                    <a:xfrm>
                      <a:off x="0" y="0"/>
                      <a:ext cx="149415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56118">
      <w:pPr>
        <w:pStyle w:val="3"/>
        <w:bidi w:val="0"/>
        <w:rPr>
          <w:rFonts w:hint="eastAsia"/>
          <w:lang w:val="en-US" w:eastAsia="zh-CN"/>
        </w:rPr>
      </w:pPr>
      <w:bookmarkStart w:id="4" w:name="_Toc18878"/>
      <w:r>
        <w:rPr>
          <w:rFonts w:hint="eastAsia"/>
          <w:lang w:val="en-US" w:eastAsia="zh-CN"/>
        </w:rPr>
        <w:t>1.4障碍物系统</w:t>
      </w:r>
      <w:bookmarkEnd w:id="4"/>
    </w:p>
    <w:p w14:paraId="01D4B32D">
      <w:pPr>
        <w:jc w:val="both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1、障碍物种类复杂</w:t>
      </w:r>
    </w:p>
    <w:p w14:paraId="0A23611D">
      <w:pPr>
        <w:ind w:firstLine="420" w:firstLineChars="200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障碍物系统是《开心消消乐》维持长期关卡变化的重要来源。基础三消规则长期稳定，如果只依赖普通消除，玩家很快会出现内容疲劳。障碍物通过限制空间、改变优先级、制造倒计时压力或改变棋盘流向，让每一组关卡形成不同的解题重点。</w:t>
      </w:r>
    </w:p>
    <w:p w14:paraId="65BCCDE4">
      <w:pPr>
        <w:ind w:firstLine="420" w:firstLineChars="200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从策划角度看，障碍物的价值不在于“越多越难”，而在于“改变玩家的判断方式”。它要求玩家重新决定先后顺序、资源投入和特效规划，因此本质上是在不断重构关卡的局部规则。</w:t>
      </w:r>
    </w:p>
    <w:p w14:paraId="64EADB31">
      <w:pPr>
        <w:ind w:firstLine="420" w:firstLineChars="200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tbl>
      <w:tblPr>
        <w:tblStyle w:val="11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44"/>
        <w:gridCol w:w="2457"/>
        <w:gridCol w:w="4021"/>
      </w:tblGrid>
      <w:tr w14:paraId="77E135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44" w:type="dxa"/>
            <w:shd w:val="clear" w:color="auto" w:fill="D4F4F1" w:themeFill="accent5" w:themeFillTint="32"/>
            <w:vAlign w:val="center"/>
          </w:tcPr>
          <w:p w14:paraId="33C705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障碍类型</w:t>
            </w:r>
          </w:p>
        </w:tc>
        <w:tc>
          <w:tcPr>
            <w:tcW w:w="2457" w:type="dxa"/>
            <w:shd w:val="clear" w:color="auto" w:fill="D4F4F1" w:themeFill="accent5" w:themeFillTint="32"/>
            <w:vAlign w:val="center"/>
          </w:tcPr>
          <w:p w14:paraId="79F3E8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代表机制</w:t>
            </w:r>
          </w:p>
        </w:tc>
        <w:tc>
          <w:tcPr>
            <w:tcW w:w="4021" w:type="dxa"/>
            <w:shd w:val="clear" w:color="auto" w:fill="D4F4F1" w:themeFill="accent5" w:themeFillTint="32"/>
            <w:vAlign w:val="center"/>
          </w:tcPr>
          <w:p w14:paraId="06A336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考察能力</w:t>
            </w:r>
          </w:p>
        </w:tc>
      </w:tr>
      <w:tr w14:paraId="122FA9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44" w:type="dxa"/>
            <w:vAlign w:val="center"/>
          </w:tcPr>
          <w:p w14:paraId="6832B3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阻挡型</w:t>
            </w:r>
          </w:p>
        </w:tc>
        <w:tc>
          <w:tcPr>
            <w:tcW w:w="2457" w:type="dxa"/>
            <w:vAlign w:val="center"/>
          </w:tcPr>
          <w:p w14:paraId="28CA9E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冰块、隔离带、固定障碍等限制消除空间。</w:t>
            </w:r>
          </w:p>
        </w:tc>
        <w:tc>
          <w:tcPr>
            <w:tcW w:w="4021" w:type="dxa"/>
            <w:vAlign w:val="center"/>
          </w:tcPr>
          <w:p w14:paraId="7657EF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空间规划和优先清除。</w:t>
            </w:r>
          </w:p>
        </w:tc>
      </w:tr>
      <w:tr w14:paraId="7CF454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44" w:type="dxa"/>
            <w:vAlign w:val="center"/>
          </w:tcPr>
          <w:p w14:paraId="3BC742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扩散型</w:t>
            </w:r>
          </w:p>
        </w:tc>
        <w:tc>
          <w:tcPr>
            <w:tcW w:w="2457" w:type="dxa"/>
            <w:vAlign w:val="center"/>
          </w:tcPr>
          <w:p w14:paraId="067C8E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毒液等随回合变化并侵占棋盘。</w:t>
            </w:r>
          </w:p>
        </w:tc>
        <w:tc>
          <w:tcPr>
            <w:tcW w:w="4021" w:type="dxa"/>
            <w:vAlign w:val="center"/>
          </w:tcPr>
          <w:p w14:paraId="13929C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威胁排序和节奏控制。</w:t>
            </w:r>
          </w:p>
        </w:tc>
      </w:tr>
      <w:tr w14:paraId="3824BB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44" w:type="dxa"/>
            <w:vAlign w:val="center"/>
          </w:tcPr>
          <w:p w14:paraId="315C15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层数型</w:t>
            </w:r>
          </w:p>
        </w:tc>
        <w:tc>
          <w:tcPr>
            <w:tcW w:w="2457" w:type="dxa"/>
            <w:vAlign w:val="center"/>
          </w:tcPr>
          <w:p w14:paraId="207806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需要多次旁消或特效命中。</w:t>
            </w:r>
          </w:p>
        </w:tc>
        <w:tc>
          <w:tcPr>
            <w:tcW w:w="4021" w:type="dxa"/>
            <w:vAlign w:val="center"/>
          </w:tcPr>
          <w:p w14:paraId="4427B9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特效制造和目标聚焦。</w:t>
            </w:r>
          </w:p>
        </w:tc>
      </w:tr>
      <w:tr w14:paraId="577612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44" w:type="dxa"/>
            <w:vAlign w:val="center"/>
          </w:tcPr>
          <w:p w14:paraId="4DBC99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掉落/收集型</w:t>
            </w:r>
          </w:p>
        </w:tc>
        <w:tc>
          <w:tcPr>
            <w:tcW w:w="2457" w:type="dxa"/>
            <w:vAlign w:val="center"/>
          </w:tcPr>
          <w:p w14:paraId="7AD9F8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要求目标物通过通道掉落或收集指定物。</w:t>
            </w:r>
          </w:p>
        </w:tc>
        <w:tc>
          <w:tcPr>
            <w:tcW w:w="4021" w:type="dxa"/>
            <w:vAlign w:val="center"/>
          </w:tcPr>
          <w:p w14:paraId="329595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棋盘路径理解。</w:t>
            </w:r>
          </w:p>
        </w:tc>
      </w:tr>
      <w:tr w14:paraId="168463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44" w:type="dxa"/>
            <w:vAlign w:val="center"/>
          </w:tcPr>
          <w:p w14:paraId="5FDCF9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组合型</w:t>
            </w:r>
          </w:p>
        </w:tc>
        <w:tc>
          <w:tcPr>
            <w:tcW w:w="2457" w:type="dxa"/>
            <w:vAlign w:val="center"/>
          </w:tcPr>
          <w:p w14:paraId="6D7C65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多种障碍同时出现并相互影响。</w:t>
            </w:r>
          </w:p>
        </w:tc>
        <w:tc>
          <w:tcPr>
            <w:tcW w:w="4021" w:type="dxa"/>
            <w:vAlign w:val="center"/>
          </w:tcPr>
          <w:p w14:paraId="39421B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综合策略与风险判断。</w:t>
            </w:r>
          </w:p>
        </w:tc>
      </w:tr>
    </w:tbl>
    <w:p w14:paraId="50A786BF">
      <w:pPr>
        <w:ind w:firstLine="420" w:firstLineChars="200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526546D8"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399280" cy="1261110"/>
            <wp:effectExtent l="0" t="0" r="1270" b="1524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99280" cy="1261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     </w:t>
      </w:r>
    </w:p>
    <w:p w14:paraId="59DA0BC9"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7A137156"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931545" cy="1039495"/>
            <wp:effectExtent l="0" t="0" r="1905" b="8255"/>
            <wp:docPr id="16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rcRect r="71007" b="70594"/>
                    <a:stretch>
                      <a:fillRect/>
                    </a:stretch>
                  </pic:blipFill>
                  <pic:spPr>
                    <a:xfrm>
                      <a:off x="0" y="0"/>
                      <a:ext cx="931545" cy="1039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035685" cy="1036955"/>
            <wp:effectExtent l="0" t="0" r="12065" b="10795"/>
            <wp:docPr id="17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rcRect l="67165" r="759" b="70791"/>
                    <a:stretch>
                      <a:fillRect/>
                    </a:stretch>
                  </pic:blipFill>
                  <pic:spPr>
                    <a:xfrm>
                      <a:off x="0" y="0"/>
                      <a:ext cx="1035685" cy="1036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1A31B72">
      <w:pPr>
        <w:jc w:val="both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2、堆叠过度导致的问题</w:t>
      </w:r>
    </w:p>
    <w:p w14:paraId="3B54CB0C">
      <w:pPr>
        <w:ind w:firstLine="420" w:firstLineChars="200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障碍物设计的价值在于提供局部规则，而不是简单堆数量。当一个关卡同时出现多种障碍、多个目标和较少步数时，玩家需要处理的信息量会迅速上升。此时障碍物会从“策略变量”变成“信息过载”，反而削弱解题感。</w:t>
      </w:r>
    </w:p>
    <w:p w14:paraId="330C30E0">
      <w:pPr>
        <w:ind w:firstLine="420" w:firstLineChars="200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合理的障碍释放应遵循“单一教学—双元素组合—复杂混搭”的曲线：新障碍第一次出现时降低压力，让玩家先理解逻辑；中期与少量旧障碍组合；后期再进入多障碍综合关。这样才能把难度增长建立在“学习”上，而不是建立在“堆叠”上。</w:t>
      </w:r>
    </w:p>
    <w:p w14:paraId="57D31476">
      <w:pPr>
        <w:ind w:firstLine="420" w:firstLineChars="200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障碍物系统的设计重点不是增加复杂度，而是让复杂度保持可学习、可判断、可复盘。</w:t>
      </w:r>
    </w:p>
    <w:p w14:paraId="29377FBC">
      <w:pPr>
        <w:ind w:firstLine="420" w:firstLineChars="200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0F199BE6"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300" distR="114300">
            <wp:extent cx="1864995" cy="1943100"/>
            <wp:effectExtent l="0" t="0" r="0" b="0"/>
            <wp:docPr id="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rcRect r="40667"/>
                    <a:stretch>
                      <a:fillRect/>
                    </a:stretch>
                  </pic:blipFill>
                  <pic:spPr>
                    <a:xfrm>
                      <a:off x="0" y="0"/>
                      <a:ext cx="186499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863090" cy="1927225"/>
            <wp:effectExtent l="0" t="0" r="3810" b="15875"/>
            <wp:docPr id="49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rcRect t="29598" b="22678"/>
                    <a:stretch>
                      <a:fillRect/>
                    </a:stretch>
                  </pic:blipFill>
                  <pic:spPr>
                    <a:xfrm>
                      <a:off x="0" y="0"/>
                      <a:ext cx="1863090" cy="1927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2CE9FE4"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4DA2E21E">
      <w:pPr>
        <w:pStyle w:val="3"/>
        <w:bidi w:val="0"/>
        <w:rPr>
          <w:rFonts w:hint="eastAsia"/>
          <w:lang w:val="en-US" w:eastAsia="zh-CN"/>
        </w:rPr>
      </w:pPr>
      <w:bookmarkStart w:id="5" w:name="_Toc23881"/>
      <w:r>
        <w:rPr>
          <w:rFonts w:hint="eastAsia"/>
          <w:lang w:val="en-US" w:eastAsia="zh-CN"/>
        </w:rPr>
        <w:t>1.5关卡系统</w:t>
      </w:r>
      <w:bookmarkEnd w:id="5"/>
    </w:p>
    <w:p w14:paraId="48E2A445">
      <w:pPr>
        <w:jc w:val="both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1、关卡内容丰富</w:t>
      </w:r>
    </w:p>
    <w:p w14:paraId="09563AE8">
      <w:pPr>
        <w:ind w:firstLine="42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关卡系统是产品的内容主体，也是其他系统最主要的承载场景。根据 2026 年 4 月 24 日公开版本公告，游戏主线关已更新至 12255 关，精英关更新至 2448 关。这说明《开心消消乐》仍然具备很强的长线内容供给能力。</w:t>
      </w:r>
    </w:p>
    <w:p w14:paraId="2864FB28">
      <w:pPr>
        <w:ind w:firstLine="420" w:firstLineChars="200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/>
          <w:lang w:val="en-US" w:eastAsia="zh-CN"/>
        </w:rPr>
        <w:t xml:space="preserve">对休闲三消而言，稳定更新的意义非常大：它不仅给长线玩家持续的推进目标，也会向回流玩家传递“产品仍在活跃运营”的信号。                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</w:t>
      </w:r>
    </w:p>
    <w:p w14:paraId="2B2E9DFD">
      <w:pPr>
        <w:jc w:val="both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2、区域解锁</w:t>
      </w:r>
    </w:p>
    <w:p w14:paraId="3752E10E">
      <w:pPr>
        <w:ind w:firstLine="420" w:firstLineChars="200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区域解锁把连续关卡包装成阶段目标。玩家不是在一条无尽数字线上前进，而是在不同主题和区域中推进，这会显著降低“万关规模”带来的心理距离。</w:t>
      </w:r>
    </w:p>
    <w:p w14:paraId="1A06EBC2">
      <w:pPr>
        <w:ind w:firstLine="420" w:firstLineChars="200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星星、关卡进度和区域解锁之间构成长期推进链路。通关不仅推进关卡，也为后续区域解锁、补星和成就提供动力，使旧关卡的重复挑战具备合理性。</w:t>
      </w:r>
    </w:p>
    <w:p w14:paraId="7E17F36D">
      <w:pPr>
        <w:jc w:val="both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3、隐藏关卡</w:t>
      </w:r>
    </w:p>
    <w:p w14:paraId="6C2D4752">
      <w:pPr>
        <w:ind w:firstLine="420" w:firstLineChars="200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隐藏关卡或精英内容的价值，在于区分玩家的投入程度。普通玩家只需推进主线即可；追求完整度的玩家则会为了隐藏关、满星或精英关进行重复挑战。它提供的是荣誉感、完整度和额外奖励，而不是所有人必须完成的主线门槛。</w:t>
      </w:r>
    </w:p>
    <w:p w14:paraId="6762D51A">
      <w:pPr>
        <w:jc w:val="both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4、三星得分机制</w:t>
      </w:r>
    </w:p>
    <w:p w14:paraId="381E6980">
      <w:pPr>
        <w:ind w:firstLine="420" w:firstLineChars="200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三星评价延长了单关生命周期。玩家首次通关后，如果没有拿到三星，仍有回头优化成绩的理由。但如果评分缺少分项解释，玩家就很难判断自己是差在剩余步数、连消表现，还是目标清除效率。</w:t>
      </w:r>
    </w:p>
    <w:p w14:paraId="0ABD05BF">
      <w:pPr>
        <w:ind w:firstLine="420" w:firstLineChars="200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因此，三星系统更适合增加分项反馈，例如剩余步数加分、特效组合加分、目标清除效率等。这样玩家追求三星时，就会从“盲目刷分”转向“有目标优化”。</w:t>
      </w:r>
    </w:p>
    <w:p w14:paraId="75364BE0">
      <w:pPr>
        <w:ind w:firstLine="420" w:firstLineChars="200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关卡系统是所有系统的承载核心，它既提供长期目标，也决定道具、经济、活动和成就是否有稳定使用场景。</w:t>
      </w:r>
    </w:p>
    <w:p w14:paraId="70DD6672">
      <w:pPr>
        <w:ind w:firstLine="420" w:firstLineChars="200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5FC73502"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585595" cy="2025015"/>
            <wp:effectExtent l="0" t="0" r="14605" b="13335"/>
            <wp:docPr id="25" name="图片 25" descr="IMG_3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3752"/>
                    <pic:cNvPicPr>
                      <a:picLocks noChangeAspect="1"/>
                    </pic:cNvPicPr>
                  </pic:nvPicPr>
                  <pic:blipFill>
                    <a:blip r:embed="rId26"/>
                    <a:srcRect t="18350" b="22645"/>
                    <a:stretch>
                      <a:fillRect/>
                    </a:stretch>
                  </pic:blipFill>
                  <pic:spPr>
                    <a:xfrm>
                      <a:off x="0" y="0"/>
                      <a:ext cx="1585595" cy="202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534160" cy="2066925"/>
            <wp:effectExtent l="0" t="0" r="8890" b="9525"/>
            <wp:docPr id="26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 descr="IMG_256"/>
                    <pic:cNvPicPr>
                      <a:picLocks noChangeAspect="1"/>
                    </pic:cNvPicPr>
                  </pic:nvPicPr>
                  <pic:blipFill>
                    <a:blip r:embed="rId27"/>
                    <a:srcRect l="20114" r="20090"/>
                    <a:stretch>
                      <a:fillRect/>
                    </a:stretch>
                  </pic:blipFill>
                  <pic:spPr>
                    <a:xfrm>
                      <a:off x="0" y="0"/>
                      <a:ext cx="153416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5664F38">
      <w:pPr>
        <w:pStyle w:val="3"/>
        <w:bidi w:val="0"/>
        <w:rPr>
          <w:rFonts w:hint="eastAsia"/>
          <w:lang w:val="en-US" w:eastAsia="zh-CN"/>
        </w:rPr>
      </w:pPr>
      <w:bookmarkStart w:id="6" w:name="_Toc351"/>
      <w:r>
        <w:rPr>
          <w:rFonts w:hint="eastAsia"/>
          <w:lang w:val="en-US" w:eastAsia="zh-CN"/>
        </w:rPr>
        <w:t>1.6经济系统</w:t>
      </w:r>
      <w:bookmarkEnd w:id="6"/>
    </w:p>
    <w:p w14:paraId="2F257798">
      <w:pPr>
        <w:jc w:val="both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1、货币系统</w:t>
      </w:r>
    </w:p>
    <w:p w14:paraId="3CB5459B">
      <w:pPr>
        <w:ind w:firstLine="420" w:firstLineChars="200"/>
        <w:jc w:val="both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《开心消消乐》的经济系统由基础软货币、高级货币、体力资源、道具礼包和活动奖励共同组成。其中，银币承担日常资源循环，风车币与礼包承担更明确的付费转化，而精力则承担游玩门票与回流节奏控制。</w:t>
      </w:r>
    </w:p>
    <w:p w14:paraId="7CB39008">
      <w:pPr>
        <w:ind w:firstLine="420" w:firstLineChars="200"/>
        <w:jc w:val="both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tbl>
      <w:tblPr>
        <w:tblStyle w:val="11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79"/>
        <w:gridCol w:w="1949"/>
        <w:gridCol w:w="2340"/>
        <w:gridCol w:w="2754"/>
      </w:tblGrid>
      <w:tr w14:paraId="0B416CB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79" w:type="dxa"/>
            <w:shd w:val="clear" w:color="auto" w:fill="D4F4F1" w:themeFill="accent5" w:themeFillTint="32"/>
            <w:vAlign w:val="center"/>
          </w:tcPr>
          <w:p w14:paraId="161F90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资源</w:t>
            </w:r>
          </w:p>
        </w:tc>
        <w:tc>
          <w:tcPr>
            <w:tcW w:w="1949" w:type="dxa"/>
            <w:shd w:val="clear" w:color="auto" w:fill="D4F4F1" w:themeFill="accent5" w:themeFillTint="32"/>
            <w:vAlign w:val="center"/>
          </w:tcPr>
          <w:p w14:paraId="2FBE35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定位</w:t>
            </w:r>
          </w:p>
        </w:tc>
        <w:tc>
          <w:tcPr>
            <w:tcW w:w="2340" w:type="dxa"/>
            <w:shd w:val="clear" w:color="auto" w:fill="D4F4F1" w:themeFill="accent5" w:themeFillTint="32"/>
            <w:vAlign w:val="center"/>
          </w:tcPr>
          <w:p w14:paraId="4613B2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主要用途</w:t>
            </w:r>
          </w:p>
        </w:tc>
        <w:tc>
          <w:tcPr>
            <w:tcW w:w="2754" w:type="dxa"/>
            <w:shd w:val="clear" w:color="auto" w:fill="D4F4F1" w:themeFill="accent5" w:themeFillTint="32"/>
            <w:vAlign w:val="center"/>
          </w:tcPr>
          <w:p w14:paraId="164455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设计意义</w:t>
            </w:r>
          </w:p>
        </w:tc>
      </w:tr>
      <w:tr w14:paraId="051125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79" w:type="dxa"/>
            <w:vAlign w:val="center"/>
          </w:tcPr>
          <w:p w14:paraId="68C08E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银币</w:t>
            </w:r>
          </w:p>
        </w:tc>
        <w:tc>
          <w:tcPr>
            <w:tcW w:w="1949" w:type="dxa"/>
            <w:vAlign w:val="center"/>
          </w:tcPr>
          <w:p w14:paraId="4484F0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基础软货币</w:t>
            </w:r>
          </w:p>
        </w:tc>
        <w:tc>
          <w:tcPr>
            <w:tcW w:w="2340" w:type="dxa"/>
            <w:vAlign w:val="center"/>
          </w:tcPr>
          <w:p w14:paraId="68B417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购买部分道具、参与日常资源消耗。</w:t>
            </w:r>
          </w:p>
        </w:tc>
        <w:tc>
          <w:tcPr>
            <w:tcW w:w="2754" w:type="dxa"/>
            <w:vAlign w:val="center"/>
          </w:tcPr>
          <w:p w14:paraId="347FC3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维持免费玩家的日常循环。</w:t>
            </w:r>
          </w:p>
        </w:tc>
      </w:tr>
      <w:tr w14:paraId="564968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79" w:type="dxa"/>
            <w:vAlign w:val="center"/>
          </w:tcPr>
          <w:p w14:paraId="4D2EC1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风车币</w:t>
            </w:r>
          </w:p>
        </w:tc>
        <w:tc>
          <w:tcPr>
            <w:tcW w:w="1949" w:type="dxa"/>
            <w:vAlign w:val="center"/>
          </w:tcPr>
          <w:p w14:paraId="1CE6A7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高级货币</w:t>
            </w:r>
          </w:p>
        </w:tc>
        <w:tc>
          <w:tcPr>
            <w:tcW w:w="2340" w:type="dxa"/>
            <w:vAlign w:val="center"/>
          </w:tcPr>
          <w:p w14:paraId="425B5B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购买高级资源、礼包或特殊补给。</w:t>
            </w:r>
          </w:p>
        </w:tc>
        <w:tc>
          <w:tcPr>
            <w:tcW w:w="2754" w:type="dxa"/>
            <w:vAlign w:val="center"/>
          </w:tcPr>
          <w:p w14:paraId="1E7CD1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承担付费价值表达。</w:t>
            </w:r>
          </w:p>
        </w:tc>
      </w:tr>
      <w:tr w14:paraId="58EAC9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79" w:type="dxa"/>
            <w:vAlign w:val="center"/>
          </w:tcPr>
          <w:p w14:paraId="512555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精力/精力瓶</w:t>
            </w:r>
          </w:p>
        </w:tc>
        <w:tc>
          <w:tcPr>
            <w:tcW w:w="1949" w:type="dxa"/>
            <w:vAlign w:val="center"/>
          </w:tcPr>
          <w:p w14:paraId="4CD84E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游玩门票</w:t>
            </w:r>
          </w:p>
        </w:tc>
        <w:tc>
          <w:tcPr>
            <w:tcW w:w="2340" w:type="dxa"/>
            <w:vAlign w:val="center"/>
          </w:tcPr>
          <w:p w14:paraId="6F2EE5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进入关卡、补充游玩次数。</w:t>
            </w:r>
          </w:p>
        </w:tc>
        <w:tc>
          <w:tcPr>
            <w:tcW w:w="2754" w:type="dxa"/>
            <w:vAlign w:val="center"/>
          </w:tcPr>
          <w:p w14:paraId="758E5F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控制节奏并制造回流。</w:t>
            </w:r>
          </w:p>
        </w:tc>
      </w:tr>
      <w:tr w14:paraId="00D0FE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79" w:type="dxa"/>
            <w:vAlign w:val="center"/>
          </w:tcPr>
          <w:p w14:paraId="7E01BC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礼包</w:t>
            </w:r>
          </w:p>
        </w:tc>
        <w:tc>
          <w:tcPr>
            <w:tcW w:w="1949" w:type="dxa"/>
            <w:vAlign w:val="center"/>
          </w:tcPr>
          <w:p w14:paraId="101583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组合商品</w:t>
            </w:r>
          </w:p>
        </w:tc>
        <w:tc>
          <w:tcPr>
            <w:tcW w:w="2340" w:type="dxa"/>
            <w:vAlign w:val="center"/>
          </w:tcPr>
          <w:p w14:paraId="62AEE2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集中提供道具、体力、限时奖励。</w:t>
            </w:r>
          </w:p>
        </w:tc>
        <w:tc>
          <w:tcPr>
            <w:tcW w:w="2754" w:type="dxa"/>
            <w:vAlign w:val="center"/>
          </w:tcPr>
          <w:p w14:paraId="4750B1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承接卡关和活动场景。</w:t>
            </w:r>
          </w:p>
        </w:tc>
      </w:tr>
      <w:tr w14:paraId="408B0D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79" w:type="dxa"/>
            <w:vAlign w:val="center"/>
          </w:tcPr>
          <w:p w14:paraId="266E16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活动奖励</w:t>
            </w:r>
          </w:p>
        </w:tc>
        <w:tc>
          <w:tcPr>
            <w:tcW w:w="1949" w:type="dxa"/>
            <w:vAlign w:val="center"/>
          </w:tcPr>
          <w:p w14:paraId="5364FD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阶段性资源</w:t>
            </w:r>
          </w:p>
        </w:tc>
        <w:tc>
          <w:tcPr>
            <w:tcW w:w="2340" w:type="dxa"/>
            <w:vAlign w:val="center"/>
          </w:tcPr>
          <w:p w14:paraId="0D1676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通过任务、周赛、周年活动获得。</w:t>
            </w:r>
          </w:p>
        </w:tc>
        <w:tc>
          <w:tcPr>
            <w:tcW w:w="2754" w:type="dxa"/>
            <w:vAlign w:val="center"/>
          </w:tcPr>
          <w:p w14:paraId="4125FC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提升短期活跃和回流。</w:t>
            </w:r>
          </w:p>
        </w:tc>
      </w:tr>
    </w:tbl>
    <w:p w14:paraId="2C967174">
      <w:pPr>
        <w:ind w:firstLine="420" w:firstLineChars="200"/>
        <w:jc w:val="both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 w14:paraId="1C32BC0D">
      <w:pPr>
        <w:ind w:firstLine="420" w:firstLineChars="200"/>
        <w:jc w:val="both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同时，</w:t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商业化不是单点售卖，而是围绕“缺体力、差几步、卡关、活动目标”这些具体场景组织的。这样的好处是付费意图更容易被玩家理解，因为它和实际体验节点有关，而不是脱离玩法独立存在。</w:t>
      </w:r>
    </w:p>
    <w:p w14:paraId="09B38078">
      <w:pPr>
        <w:ind w:firstLine="420" w:firstLineChars="200"/>
        <w:jc w:val="both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 w14:paraId="670EAC66">
      <w:p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2966720"/>
            <wp:effectExtent l="0" t="0" r="5715" b="5080"/>
            <wp:docPr id="52" name="图片 52" descr="50C21367FCE7004DC8882E1FC7D8FB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50C21367FCE7004DC8882E1FC7D8FB6F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35F91">
      <w:pPr>
        <w:jc w:val="both"/>
        <w:rPr>
          <w:rFonts w:hint="default"/>
          <w:lang w:val="en-US" w:eastAsia="zh-CN"/>
        </w:rPr>
      </w:pPr>
    </w:p>
    <w:p w14:paraId="42F4928E">
      <w:pPr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2、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金银果树系统</w:t>
      </w:r>
    </w:p>
    <w:p w14:paraId="0435F2C7">
      <w:pPr>
        <w:ind w:firstLine="420" w:firstLineChars="200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金银果树属于轻养成型资源系统。它的价值不在于提供复杂养成深度，而在于给玩家一个低压力的登录理由：上线收取资源、等待成熟、通过好友或活动加速补给。</w:t>
      </w:r>
    </w:p>
    <w:p w14:paraId="2F98C818">
      <w:pPr>
        <w:ind w:firstLine="420" w:firstLineChars="200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该系统的优点是不抢夺主玩法注意力。玩家的核心目标仍然是过关，果树只是围绕资源补给形成辅助循环。相比单纯签到，“收获”比“领取”更有参与感。</w:t>
      </w:r>
    </w:p>
    <w:p w14:paraId="279E6123">
      <w:p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654810" cy="3581400"/>
            <wp:effectExtent l="0" t="0" r="2540" b="0"/>
            <wp:docPr id="29" name="图片 29" descr="IMG_3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375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5481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654810" cy="3581400"/>
            <wp:effectExtent l="0" t="0" r="2540" b="0"/>
            <wp:docPr id="30" name="图片 30" descr="IMG_3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_376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5481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40941">
      <w:pPr>
        <w:jc w:val="both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3、道具价格与经济平衡</w:t>
      </w:r>
    </w:p>
    <w:p w14:paraId="43F905DC">
      <w:pPr>
        <w:ind w:firstLine="420" w:firstLineChars="200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经济系统的关键不是单纯提高或降低道具价格，而是让玩家相信：道具消耗是在帮助自己突破合理难点，而不是被系统刻意压迫。如果高难关卡中道具成本远高于单局奖励，免费玩家就会陷入“不用道具过不去，用了道具又担心资源枯竭”的两难。</w:t>
      </w:r>
    </w:p>
    <w:p w14:paraId="005CF0F0">
      <w:pPr>
        <w:ind w:firstLine="420" w:firstLineChars="200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因此，更合理的目标是提升道具价格的可预期性，减少价格跳跃带来的焦虑，并通过活动补给、失败缓冲和免费补充，让玩家相信“只要足够耐心，依然可以通过合理规划推进”。</w:t>
      </w:r>
    </w:p>
    <w:p w14:paraId="2E5E442D">
      <w:pPr>
        <w:jc w:val="both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4、商业化混合变现</w:t>
      </w:r>
    </w:p>
    <w:p w14:paraId="5CA9DDDC">
      <w:pPr>
        <w:ind w:firstLine="420" w:firstLineChars="200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《开心消消乐》的变现属于典型的混合模式：一部分通过高级货币、礼包和精力补给进行直接转化；另一部分通过活动奖励、限时资源与场景化推荐形成效率型付费。</w:t>
      </w:r>
    </w:p>
    <w:p w14:paraId="72CBDD88">
      <w:pPr>
        <w:ind w:firstLine="420" w:firstLineChars="200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这类模式适合休闲产品，因为轻度玩家可以免费推进，付费玩家则在卡关、活动和冲关节点提高效率。真正需要控制的，不是“是否商业化”，而是提示频率和弹出时机：一旦系统在连续失败后反复强化付费提示，就容易把失败解释权交给商业化，而不是交给玩法本身。</w:t>
      </w:r>
    </w:p>
    <w:p w14:paraId="46A48A33">
      <w:pPr>
        <w:ind w:firstLine="420" w:firstLineChars="200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经济系统的核心不是“卖资源”，而是在免费循环和付费加速之间保持公平感与可持续消耗。</w:t>
      </w:r>
    </w:p>
    <w:p w14:paraId="309130C7"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236C9B38"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4785" cy="1981200"/>
            <wp:effectExtent l="0" t="0" r="12065" b="0"/>
            <wp:docPr id="31" name="图片 31" descr="开心消消乐近一个月排名趋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开心消消乐近一个月排名趋势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15AD5"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405255" cy="3041650"/>
            <wp:effectExtent l="0" t="0" r="4445" b="6350"/>
            <wp:docPr id="32" name="图片 32" descr="IMG_3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IMG_375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405255" cy="304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391920" cy="3013710"/>
            <wp:effectExtent l="0" t="0" r="17780" b="15240"/>
            <wp:docPr id="33" name="图片 33" descr="IMG_3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IMG_375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391920" cy="301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DF64A">
      <w:pPr>
        <w:pStyle w:val="3"/>
        <w:bidi w:val="0"/>
        <w:rPr>
          <w:rFonts w:hint="eastAsia"/>
          <w:lang w:val="en-US" w:eastAsia="zh-CN"/>
        </w:rPr>
      </w:pPr>
      <w:bookmarkStart w:id="7" w:name="_Toc15402"/>
      <w:r>
        <w:rPr>
          <w:rFonts w:hint="eastAsia"/>
          <w:lang w:val="en-US" w:eastAsia="zh-CN"/>
        </w:rPr>
        <w:t>1.7社交系统</w:t>
      </w:r>
      <w:bookmarkEnd w:id="7"/>
    </w:p>
    <w:p w14:paraId="23E309A1">
      <w:pPr>
        <w:jc w:val="both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1、好友添加</w:t>
      </w:r>
    </w:p>
    <w:p w14:paraId="55419360">
      <w:pPr>
        <w:ind w:firstLine="420" w:firstLineChars="200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《开心消消乐》的社交系统属于轻社交，重点不在强组队或实时对抗，而是通过好友、排名、精力互赠、求助和周赛提供低压力互动。多数玩家只是利用碎片时间消除几关，不希望被复杂关系链绑定，因此轻社交比重社交更符合产品定位。</w:t>
      </w:r>
    </w:p>
    <w:p w14:paraId="1F7F91D2">
      <w:pPr>
        <w:jc w:val="both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2、好友互动</w:t>
      </w:r>
    </w:p>
    <w:p w14:paraId="171C3D2F">
      <w:pPr>
        <w:jc w:val="both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tbl>
      <w:tblPr>
        <w:tblStyle w:val="11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51"/>
        <w:gridCol w:w="2043"/>
        <w:gridCol w:w="4228"/>
      </w:tblGrid>
      <w:tr w14:paraId="79E3B4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51" w:type="dxa"/>
            <w:shd w:val="clear" w:color="auto" w:fill="D4F4F1" w:themeFill="accent5" w:themeFillTint="32"/>
            <w:vAlign w:val="center"/>
          </w:tcPr>
          <w:p w14:paraId="2B8B14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功能</w:t>
            </w:r>
          </w:p>
        </w:tc>
        <w:tc>
          <w:tcPr>
            <w:tcW w:w="2043" w:type="dxa"/>
            <w:shd w:val="clear" w:color="auto" w:fill="D4F4F1" w:themeFill="accent5" w:themeFillTint="32"/>
            <w:vAlign w:val="center"/>
          </w:tcPr>
          <w:p w14:paraId="439C1A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玩家行为</w:t>
            </w:r>
          </w:p>
        </w:tc>
        <w:tc>
          <w:tcPr>
            <w:tcW w:w="4228" w:type="dxa"/>
            <w:shd w:val="clear" w:color="auto" w:fill="D4F4F1" w:themeFill="accent5" w:themeFillTint="32"/>
            <w:vAlign w:val="center"/>
          </w:tcPr>
          <w:p w14:paraId="4CF1CB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系统目的</w:t>
            </w:r>
          </w:p>
        </w:tc>
      </w:tr>
      <w:tr w14:paraId="7BA486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51" w:type="dxa"/>
            <w:vAlign w:val="center"/>
          </w:tcPr>
          <w:p w14:paraId="5BE5A4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好友排名</w:t>
            </w:r>
          </w:p>
        </w:tc>
        <w:tc>
          <w:tcPr>
            <w:tcW w:w="2043" w:type="dxa"/>
            <w:vAlign w:val="center"/>
          </w:tcPr>
          <w:p w14:paraId="10C96B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查看好友星级、关卡进度或活动表现。</w:t>
            </w:r>
          </w:p>
        </w:tc>
        <w:tc>
          <w:tcPr>
            <w:tcW w:w="4228" w:type="dxa"/>
            <w:vAlign w:val="center"/>
          </w:tcPr>
          <w:p w14:paraId="3A8429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形成轻度比较和长期追赶目标。</w:t>
            </w:r>
          </w:p>
        </w:tc>
      </w:tr>
      <w:tr w14:paraId="3058F3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51" w:type="dxa"/>
            <w:vAlign w:val="center"/>
          </w:tcPr>
          <w:p w14:paraId="0C9D8E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精力互赠/索要</w:t>
            </w:r>
          </w:p>
        </w:tc>
        <w:tc>
          <w:tcPr>
            <w:tcW w:w="2043" w:type="dxa"/>
            <w:vAlign w:val="center"/>
          </w:tcPr>
          <w:p w14:paraId="4AAD0F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向好友赠送或索要精力。</w:t>
            </w:r>
          </w:p>
        </w:tc>
        <w:tc>
          <w:tcPr>
            <w:tcW w:w="4228" w:type="dxa"/>
            <w:vAlign w:val="center"/>
          </w:tcPr>
          <w:p w14:paraId="4C0DC9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缓解体力不足，同时提升好友互动频次。</w:t>
            </w:r>
          </w:p>
        </w:tc>
      </w:tr>
      <w:tr w14:paraId="412FA0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51" w:type="dxa"/>
            <w:vAlign w:val="center"/>
          </w:tcPr>
          <w:p w14:paraId="41F2C8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关卡求助/好友代打</w:t>
            </w:r>
          </w:p>
        </w:tc>
        <w:tc>
          <w:tcPr>
            <w:tcW w:w="2043" w:type="dxa"/>
            <w:vAlign w:val="center"/>
          </w:tcPr>
          <w:p w14:paraId="3CDCAB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卡关时寻求好友帮助。</w:t>
            </w:r>
          </w:p>
        </w:tc>
        <w:tc>
          <w:tcPr>
            <w:tcW w:w="4228" w:type="dxa"/>
            <w:vAlign w:val="center"/>
          </w:tcPr>
          <w:p w14:paraId="39321A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既降低了挫败感和卡关流失，又制造了社交话题。</w:t>
            </w:r>
          </w:p>
        </w:tc>
      </w:tr>
      <w:tr w14:paraId="7CFBF8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51" w:type="dxa"/>
            <w:vAlign w:val="center"/>
          </w:tcPr>
          <w:p w14:paraId="45ABAB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平台成就/排行榜</w:t>
            </w:r>
          </w:p>
        </w:tc>
        <w:tc>
          <w:tcPr>
            <w:tcW w:w="2043" w:type="dxa"/>
            <w:vAlign w:val="center"/>
          </w:tcPr>
          <w:p w14:paraId="6F15BB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展示成就与排名。</w:t>
            </w:r>
          </w:p>
        </w:tc>
        <w:tc>
          <w:tcPr>
            <w:tcW w:w="4228" w:type="dxa"/>
            <w:vAlign w:val="center"/>
          </w:tcPr>
          <w:p w14:paraId="17A92B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强化外部身份展示。</w:t>
            </w:r>
          </w:p>
        </w:tc>
      </w:tr>
    </w:tbl>
    <w:p w14:paraId="1864E9C1">
      <w:pPr>
        <w:ind w:firstLine="420" w:firstLineChars="200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29EE8DA8">
      <w:pPr>
        <w:ind w:firstLine="420" w:firstLineChars="200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系统的核心优点是不强迫：不参与好友互动的玩家，依然可以按单机节奏推进主线；愿意互动的玩家，则能获得更多资源和比较目标。</w:t>
      </w:r>
    </w:p>
    <w:p w14:paraId="5EB05F87">
      <w:pPr>
        <w:ind w:firstLine="420" w:firstLineChars="200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其社交强度大致处于“弱关系互助—轻度比较—周期竞技”的区间：</w:t>
      </w:r>
    </w:p>
    <w:p w14:paraId="389DEF5D">
      <w:pPr>
        <w:jc w:val="both"/>
        <w:rPr>
          <w:rFonts w:hint="eastAsia" w:ascii="宋体" w:hAnsi="宋体" w:cs="宋体" w:eastAsiaTheme="minorEastAsia"/>
          <w:sz w:val="21"/>
          <w:szCs w:val="21"/>
          <w:lang w:val="en-US" w:eastAsia="zh-CN"/>
        </w:rPr>
      </w:pPr>
      <w:r>
        <w:rPr>
          <w:rFonts w:hint="eastAsia" w:ascii="宋体" w:hAnsi="宋体" w:cs="宋体" w:eastAsiaTheme="minorEastAsia"/>
          <w:sz w:val="21"/>
          <w:szCs w:val="21"/>
          <w:lang w:val="en-US" w:eastAsia="zh-CN"/>
        </w:rPr>
        <w:drawing>
          <wp:inline distT="0" distB="0" distL="114300" distR="114300">
            <wp:extent cx="5266690" cy="1402715"/>
            <wp:effectExtent l="0" t="0" r="0" b="0"/>
            <wp:docPr id="56" name="图片 56" descr="eaded3dfba19ad2c31ea483ebd466985_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eaded3dfba19ad2c31ea483ebd466985_720"/>
                    <pic:cNvPicPr>
                      <a:picLocks noChangeAspect="1"/>
                    </pic:cNvPicPr>
                  </pic:nvPicPr>
                  <pic:blipFill>
                    <a:blip r:embed="rId34"/>
                    <a:srcRect t="23982" b="2867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7256F">
      <w:pPr>
        <w:jc w:val="both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3、周赛的轻度竞技属性</w:t>
      </w:r>
    </w:p>
    <w:p w14:paraId="14A81E00">
      <w:pPr>
        <w:ind w:firstLine="420" w:firstLineChars="200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周赛是主线之外较稳定的周期性目标。它把玩家日常消除行为转化为排名、收集和奖励，形成每周循环。它的价值不在于强竞技，而在于节奏驱动：参与门槛低，奖励明确，即使排名不高，也不会阻断主线。</w:t>
      </w:r>
    </w:p>
    <w:p w14:paraId="59FF97E6">
      <w:pPr>
        <w:ind w:firstLine="420" w:firstLineChars="200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社交系统的价值不在于强绑定，而在于以最低压力提供资源互助、轻度比较和回流理由。</w:t>
      </w:r>
    </w:p>
    <w:p w14:paraId="031B5DEE"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798955" cy="1968500"/>
            <wp:effectExtent l="0" t="0" r="10795" b="12700"/>
            <wp:docPr id="36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9" descr="IMG_256"/>
                    <pic:cNvPicPr>
                      <a:picLocks noChangeAspect="1"/>
                    </pic:cNvPicPr>
                  </pic:nvPicPr>
                  <pic:blipFill>
                    <a:blip r:embed="rId35"/>
                    <a:srcRect t="49475"/>
                    <a:stretch>
                      <a:fillRect/>
                    </a:stretch>
                  </pic:blipFill>
                  <pic:spPr>
                    <a:xfrm>
                      <a:off x="0" y="0"/>
                      <a:ext cx="1798955" cy="1968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395730" cy="1998345"/>
            <wp:effectExtent l="0" t="0" r="13970" b="1905"/>
            <wp:docPr id="35" name="图片 35" descr="IMG_3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IMG_3762"/>
                    <pic:cNvPicPr>
                      <a:picLocks noChangeAspect="1"/>
                    </pic:cNvPicPr>
                  </pic:nvPicPr>
                  <pic:blipFill>
                    <a:blip r:embed="rId36"/>
                    <a:srcRect t="13260" b="13607"/>
                    <a:stretch>
                      <a:fillRect/>
                    </a:stretch>
                  </pic:blipFill>
                  <pic:spPr>
                    <a:xfrm>
                      <a:off x="0" y="0"/>
                      <a:ext cx="1395730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590040" cy="1967865"/>
            <wp:effectExtent l="0" t="0" r="10160" b="13335"/>
            <wp:docPr id="8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IMG_256"/>
                    <pic:cNvPicPr>
                      <a:picLocks noChangeAspect="1"/>
                    </pic:cNvPicPr>
                  </pic:nvPicPr>
                  <pic:blipFill>
                    <a:blip r:embed="rId37"/>
                    <a:srcRect t="4423" b="38494"/>
                    <a:stretch>
                      <a:fillRect/>
                    </a:stretch>
                  </pic:blipFill>
                  <pic:spPr>
                    <a:xfrm>
                      <a:off x="0" y="0"/>
                      <a:ext cx="1590040" cy="1967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</w:p>
    <w:p w14:paraId="48EF12A8">
      <w:pPr>
        <w:pStyle w:val="3"/>
        <w:bidi w:val="0"/>
        <w:rPr>
          <w:rFonts w:hint="eastAsia"/>
          <w:lang w:val="en-US" w:eastAsia="zh-CN"/>
        </w:rPr>
      </w:pPr>
      <w:bookmarkStart w:id="8" w:name="_Toc3351"/>
      <w:r>
        <w:rPr>
          <w:rFonts w:hint="eastAsia"/>
          <w:lang w:val="en-US" w:eastAsia="zh-CN"/>
        </w:rPr>
        <w:t>1.8成就系统</w:t>
      </w:r>
      <w:bookmarkEnd w:id="8"/>
    </w:p>
    <w:p w14:paraId="2DF9A6B7">
      <w:pPr>
        <w:jc w:val="both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1、</w:t>
      </w:r>
      <w:r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  <w:t>成就分类</w:t>
      </w:r>
    </w:p>
    <w:p w14:paraId="50AD2153">
      <w:pPr>
        <w:ind w:firstLine="420" w:firstLineChars="200"/>
        <w:jc w:val="both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成就系统承担长期荣誉与投入记录功能。它让玩家在关卡推进之外，看到自己在登录、消除、收集、星级和活动等维度上的长期积累。</w:t>
      </w:r>
    </w:p>
    <w:tbl>
      <w:tblPr>
        <w:tblStyle w:val="11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91"/>
        <w:gridCol w:w="2473"/>
        <w:gridCol w:w="4358"/>
      </w:tblGrid>
      <w:tr w14:paraId="234666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691" w:type="dxa"/>
            <w:shd w:val="clear" w:color="auto" w:fill="D4F4F1" w:themeFill="accent5" w:themeFillTint="32"/>
            <w:vAlign w:val="center"/>
          </w:tcPr>
          <w:p w14:paraId="21B1AA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成就类型</w:t>
            </w:r>
          </w:p>
        </w:tc>
        <w:tc>
          <w:tcPr>
            <w:tcW w:w="2473" w:type="dxa"/>
            <w:shd w:val="clear" w:color="auto" w:fill="D4F4F1" w:themeFill="accent5" w:themeFillTint="32"/>
            <w:vAlign w:val="center"/>
          </w:tcPr>
          <w:p w14:paraId="1FFE14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可能覆盖内容</w:t>
            </w:r>
          </w:p>
        </w:tc>
        <w:tc>
          <w:tcPr>
            <w:tcW w:w="4358" w:type="dxa"/>
            <w:shd w:val="clear" w:color="auto" w:fill="D4F4F1" w:themeFill="accent5" w:themeFillTint="32"/>
            <w:vAlign w:val="center"/>
          </w:tcPr>
          <w:p w14:paraId="5B829E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设计价值</w:t>
            </w:r>
          </w:p>
        </w:tc>
      </w:tr>
      <w:tr w14:paraId="64B76F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91" w:type="dxa"/>
            <w:vAlign w:val="center"/>
          </w:tcPr>
          <w:p w14:paraId="5465D5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闯关成就</w:t>
            </w:r>
          </w:p>
        </w:tc>
        <w:tc>
          <w:tcPr>
            <w:tcW w:w="2473" w:type="dxa"/>
            <w:vAlign w:val="center"/>
          </w:tcPr>
          <w:p w14:paraId="4C1B92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通关数量、区域完成、精英关进度。</w:t>
            </w:r>
          </w:p>
        </w:tc>
        <w:tc>
          <w:tcPr>
            <w:tcW w:w="4358" w:type="dxa"/>
            <w:vAlign w:val="center"/>
          </w:tcPr>
          <w:p w14:paraId="232C29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记录主线推进。</w:t>
            </w:r>
          </w:p>
        </w:tc>
      </w:tr>
      <w:tr w14:paraId="5656E0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91" w:type="dxa"/>
            <w:vAlign w:val="center"/>
          </w:tcPr>
          <w:p w14:paraId="14A69F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星级成就</w:t>
            </w:r>
          </w:p>
        </w:tc>
        <w:tc>
          <w:tcPr>
            <w:tcW w:w="2473" w:type="dxa"/>
            <w:vAlign w:val="center"/>
          </w:tcPr>
          <w:p w14:paraId="1388F7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满星区域、总星数、补星目标。</w:t>
            </w:r>
          </w:p>
        </w:tc>
        <w:tc>
          <w:tcPr>
            <w:tcW w:w="4358" w:type="dxa"/>
            <w:vAlign w:val="center"/>
          </w:tcPr>
          <w:p w14:paraId="4294F1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促进重复挑战。</w:t>
            </w:r>
          </w:p>
        </w:tc>
      </w:tr>
      <w:tr w14:paraId="09C786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91" w:type="dxa"/>
            <w:vAlign w:val="center"/>
          </w:tcPr>
          <w:p w14:paraId="04539D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操作成就</w:t>
            </w:r>
          </w:p>
        </w:tc>
        <w:tc>
          <w:tcPr>
            <w:tcW w:w="2473" w:type="dxa"/>
            <w:vAlign w:val="center"/>
          </w:tcPr>
          <w:p w14:paraId="32366F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特效触发、连消次数、特殊组合。</w:t>
            </w:r>
          </w:p>
        </w:tc>
        <w:tc>
          <w:tcPr>
            <w:tcW w:w="4358" w:type="dxa"/>
            <w:vAlign w:val="center"/>
          </w:tcPr>
          <w:p w14:paraId="66EEED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鼓励技巧行为。</w:t>
            </w:r>
          </w:p>
        </w:tc>
      </w:tr>
      <w:tr w14:paraId="1BFA1E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91" w:type="dxa"/>
            <w:vAlign w:val="center"/>
          </w:tcPr>
          <w:p w14:paraId="751CB3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活跃成就</w:t>
            </w:r>
          </w:p>
        </w:tc>
        <w:tc>
          <w:tcPr>
            <w:tcW w:w="2473" w:type="dxa"/>
            <w:vAlign w:val="center"/>
          </w:tcPr>
          <w:p w14:paraId="3A7265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签到、周赛参与、活动任务。</w:t>
            </w:r>
          </w:p>
        </w:tc>
        <w:tc>
          <w:tcPr>
            <w:tcW w:w="4358" w:type="dxa"/>
            <w:vAlign w:val="center"/>
          </w:tcPr>
          <w:p w14:paraId="5C786A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提高长期回访。</w:t>
            </w:r>
          </w:p>
        </w:tc>
      </w:tr>
      <w:tr w14:paraId="272759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91" w:type="dxa"/>
            <w:vAlign w:val="center"/>
          </w:tcPr>
          <w:p w14:paraId="2F8E96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收集成就</w:t>
            </w:r>
          </w:p>
        </w:tc>
        <w:tc>
          <w:tcPr>
            <w:tcW w:w="2473" w:type="dxa"/>
            <w:vAlign w:val="center"/>
          </w:tcPr>
          <w:p w14:paraId="20F2C5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勋章、头像框、装扮、纪念奖励。</w:t>
            </w:r>
          </w:p>
        </w:tc>
        <w:tc>
          <w:tcPr>
            <w:tcW w:w="4358" w:type="dxa"/>
            <w:vAlign w:val="center"/>
          </w:tcPr>
          <w:p w14:paraId="492CC9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强化身份展示和收藏动机。</w:t>
            </w:r>
          </w:p>
        </w:tc>
      </w:tr>
    </w:tbl>
    <w:p w14:paraId="7B033C1D">
      <w:pPr>
        <w:ind w:firstLine="420" w:firstLineChars="200"/>
        <w:jc w:val="both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 w14:paraId="65802580">
      <w:pPr>
        <w:ind w:firstLine="420" w:firstLineChars="200"/>
        <w:jc w:val="both"/>
        <w:rPr>
          <w:rFonts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   </w:t>
      </w:r>
      <w:r>
        <w:rPr>
          <w:rFonts w:ascii="宋体" w:hAnsi="宋体" w:eastAsia="宋体" w:cs="宋体"/>
          <w:sz w:val="21"/>
          <w:szCs w:val="21"/>
        </w:rPr>
        <w:drawing>
          <wp:inline distT="0" distB="0" distL="114300" distR="114300">
            <wp:extent cx="2842895" cy="2257425"/>
            <wp:effectExtent l="0" t="0" r="14605" b="9525"/>
            <wp:docPr id="18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 descr="IMG_25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84289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68B9B7D">
      <w:pPr>
        <w:jc w:val="both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2、成就系统主要问题</w:t>
      </w:r>
    </w:p>
    <w:p w14:paraId="5C3C73C0">
      <w:pPr>
        <w:ind w:firstLine="420" w:firstLineChars="200"/>
        <w:jc w:val="both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成就系统最常见的问题是“目标很远，过程无感”。如果一些成就需要长期累积，但界面既没有清晰进度，也没有阶段奖励和接近完成提醒，玩家就很难被持续激励。</w:t>
      </w:r>
    </w:p>
    <w:p w14:paraId="4F39D11B">
      <w:pPr>
        <w:ind w:firstLine="420" w:firstLineChars="200"/>
        <w:jc w:val="both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因此，成就系统的重点不应只放在完成时给奖励，更应该在过程中不断提醒玩家“你快达成了”。例如提供进度百分比、下一阶段奖励、近期可完成成就推荐等，让长期目标被切分成可感知的小目标。</w:t>
      </w:r>
    </w:p>
    <w:p w14:paraId="1FB8BEC8">
      <w:pPr>
        <w:ind w:firstLine="420" w:firstLineChars="200"/>
        <w:jc w:val="both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成就系统应从“完成后记录”转向“过程中激励”，让长期目标变得可见、可追踪、可期待。</w:t>
      </w:r>
    </w:p>
    <w:p w14:paraId="288659D5">
      <w:pPr>
        <w:pStyle w:val="3"/>
        <w:bidi w:val="0"/>
        <w:rPr>
          <w:rFonts w:hint="default"/>
          <w:lang w:val="en-US" w:eastAsia="zh-CN"/>
        </w:rPr>
      </w:pPr>
      <w:bookmarkStart w:id="9" w:name="_Toc29457"/>
      <w:r>
        <w:rPr>
          <w:rFonts w:hint="default"/>
          <w:lang w:val="en-US" w:eastAsia="zh-CN"/>
        </w:rPr>
        <w:t>1.9 活动运营系统</w:t>
      </w:r>
      <w:bookmarkEnd w:id="9"/>
    </w:p>
    <w:p w14:paraId="4BB32519">
      <w:pPr>
        <w:jc w:val="both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1、</w:t>
      </w:r>
      <w:r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  <w:t>周赛系统</w:t>
      </w:r>
    </w:p>
    <w:p w14:paraId="4A56172C">
      <w:pPr>
        <w:ind w:firstLine="420" w:firstLineChars="200"/>
        <w:jc w:val="both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周赛既属于社交系统，也属于活动运营系统。它以周为周期，提供固定的非主线目标，让玩家在常规闯关之外获得额外奖励和排名反馈。</w:t>
      </w:r>
    </w:p>
    <w:p w14:paraId="5DFEBB1F">
      <w:pPr>
        <w:ind w:firstLine="420" w:firstLineChars="200"/>
        <w:jc w:val="both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这类周期活动的价值在于稳定且可预期：玩家知道每周都会有新目标，运营也可以通过奖励权重、主题包装和排名机制持续维持活跃。</w:t>
      </w:r>
    </w:p>
    <w:p w14:paraId="5FDB2FF1">
      <w:pPr>
        <w:jc w:val="both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2、</w:t>
      </w:r>
      <w:r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  <w:t>限时主题活动</w:t>
      </w:r>
    </w:p>
    <w:p w14:paraId="5AD81560">
      <w:pPr>
        <w:ind w:firstLine="420" w:firstLineChars="200"/>
        <w:jc w:val="both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限时主题活动是《开心消消乐》保持新鲜感的重要手段。它通常不会大幅改变三消核心规则，而是在原有闯关、收集、合成、排名和社交框架上，替换主题包装与奖励内容。</w:t>
      </w:r>
    </w:p>
    <w:p w14:paraId="1521D56B">
      <w:pPr>
        <w:ind w:firstLine="420" w:firstLineChars="200"/>
        <w:jc w:val="both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这种做法学习成本低、制作风险可控，也符合休闲游戏用户“轻参与”的习惯。对运营而言，主题活动最大的价值不是制造全新玩法，而是给老玩法持续注入短期目标、节日氛围和品牌记忆。</w:t>
      </w:r>
    </w:p>
    <w:p w14:paraId="34C57080">
      <w:pPr>
        <w:ind w:firstLine="420" w:firstLineChars="200"/>
        <w:jc w:val="both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活动运营系统的核心作用是内容保鲜，而不是频繁重做玩法；好的活动应服务主线节奏，并减少玩家理解成本。</w:t>
      </w:r>
    </w:p>
    <w:p w14:paraId="6B901777">
      <w:pPr>
        <w:ind w:firstLine="480" w:firstLineChars="200"/>
        <w:jc w:val="both"/>
        <w:rPr>
          <w:rFonts w:hint="default" w:ascii="黑体" w:hAnsi="黑体" w:eastAsia="黑体" w:cs="黑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115185" cy="3761105"/>
            <wp:effectExtent l="0" t="0" r="18415" b="10795"/>
            <wp:docPr id="39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8" descr="IMG_25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115185" cy="3761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</w:t>
      </w:r>
    </w:p>
    <w:p w14:paraId="6140E2C7">
      <w:pPr>
        <w:pStyle w:val="2"/>
        <w:bidi w:val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bookmarkStart w:id="10" w:name="_Toc24783"/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二、功能分类</w:t>
      </w:r>
      <w:bookmarkEnd w:id="10"/>
    </w:p>
    <w:tbl>
      <w:tblPr>
        <w:tblStyle w:val="11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78"/>
        <w:gridCol w:w="4079"/>
        <w:gridCol w:w="3065"/>
      </w:tblGrid>
      <w:tr w14:paraId="0D9E0D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8" w:type="dxa"/>
            <w:shd w:val="clear" w:color="auto" w:fill="D4F4F1" w:themeFill="accent5" w:themeFillTint="32"/>
            <w:vAlign w:val="center"/>
          </w:tcPr>
          <w:p w14:paraId="1740BF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功能类别</w:t>
            </w:r>
          </w:p>
        </w:tc>
        <w:tc>
          <w:tcPr>
            <w:tcW w:w="4079" w:type="dxa"/>
            <w:shd w:val="clear" w:color="auto" w:fill="D4F4F1" w:themeFill="accent5" w:themeFillTint="32"/>
            <w:vAlign w:val="center"/>
          </w:tcPr>
          <w:p w14:paraId="29FF12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包含系统/模块</w:t>
            </w:r>
          </w:p>
        </w:tc>
        <w:tc>
          <w:tcPr>
            <w:tcW w:w="3065" w:type="dxa"/>
            <w:shd w:val="clear" w:color="auto" w:fill="D4F4F1" w:themeFill="accent5" w:themeFillTint="32"/>
            <w:vAlign w:val="center"/>
          </w:tcPr>
          <w:p w14:paraId="3751F9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核心目的</w:t>
            </w:r>
          </w:p>
        </w:tc>
      </w:tr>
      <w:tr w14:paraId="382ECE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8" w:type="dxa"/>
            <w:vAlign w:val="center"/>
          </w:tcPr>
          <w:p w14:paraId="1EF8D4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核心玩法</w:t>
            </w:r>
          </w:p>
        </w:tc>
        <w:tc>
          <w:tcPr>
            <w:tcW w:w="4079" w:type="dxa"/>
            <w:vAlign w:val="center"/>
          </w:tcPr>
          <w:p w14:paraId="150CC9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消除规则、特效组合、障碍物应对、棋盘目标</w:t>
            </w:r>
          </w:p>
        </w:tc>
        <w:tc>
          <w:tcPr>
            <w:tcW w:w="3065" w:type="dxa"/>
            <w:vAlign w:val="center"/>
          </w:tcPr>
          <w:p w14:paraId="33CD05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提供基础游戏乐趣和单局策略空间。</w:t>
            </w:r>
          </w:p>
        </w:tc>
      </w:tr>
      <w:tr w14:paraId="2277DA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8" w:type="dxa"/>
            <w:vAlign w:val="center"/>
          </w:tcPr>
          <w:p w14:paraId="608E83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成长系统</w:t>
            </w:r>
          </w:p>
        </w:tc>
        <w:tc>
          <w:tcPr>
            <w:tcW w:w="4079" w:type="dxa"/>
            <w:vAlign w:val="center"/>
          </w:tcPr>
          <w:p w14:paraId="12008F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主线关、精英关、区域解锁、隐藏关、星级评价</w:t>
            </w:r>
          </w:p>
        </w:tc>
        <w:tc>
          <w:tcPr>
            <w:tcW w:w="3065" w:type="dxa"/>
            <w:vAlign w:val="center"/>
          </w:tcPr>
          <w:p w14:paraId="508598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建立长期推进目标和重复挑战理由。</w:t>
            </w:r>
          </w:p>
        </w:tc>
      </w:tr>
      <w:tr w14:paraId="298E42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8" w:type="dxa"/>
            <w:vAlign w:val="center"/>
          </w:tcPr>
          <w:p w14:paraId="206DD1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经济系统</w:t>
            </w:r>
          </w:p>
        </w:tc>
        <w:tc>
          <w:tcPr>
            <w:tcW w:w="4079" w:type="dxa"/>
            <w:vAlign w:val="center"/>
          </w:tcPr>
          <w:p w14:paraId="1469B0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银币、风车币、精力、礼包、果树资源</w:t>
            </w:r>
          </w:p>
        </w:tc>
        <w:tc>
          <w:tcPr>
            <w:tcW w:w="3065" w:type="dxa"/>
            <w:vAlign w:val="center"/>
          </w:tcPr>
          <w:p w14:paraId="53B6C5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完成资源产出、消耗、补给与付费转化。</w:t>
            </w:r>
          </w:p>
        </w:tc>
      </w:tr>
      <w:tr w14:paraId="63C1E4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8" w:type="dxa"/>
            <w:vAlign w:val="center"/>
          </w:tcPr>
          <w:p w14:paraId="6D6799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道具系统</w:t>
            </w:r>
          </w:p>
        </w:tc>
        <w:tc>
          <w:tcPr>
            <w:tcW w:w="4079" w:type="dxa"/>
            <w:vAlign w:val="center"/>
          </w:tcPr>
          <w:p w14:paraId="286463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开局道具、局内道具、限时道具、额外步数</w:t>
            </w:r>
          </w:p>
        </w:tc>
        <w:tc>
          <w:tcPr>
            <w:tcW w:w="3065" w:type="dxa"/>
            <w:vAlign w:val="center"/>
          </w:tcPr>
          <w:p w14:paraId="50FCDC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缓解失败挫败，提高卡关突破效率。</w:t>
            </w:r>
          </w:p>
        </w:tc>
      </w:tr>
      <w:tr w14:paraId="6D8C83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8" w:type="dxa"/>
            <w:vAlign w:val="center"/>
          </w:tcPr>
          <w:p w14:paraId="64016C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社交系统</w:t>
            </w:r>
          </w:p>
        </w:tc>
        <w:tc>
          <w:tcPr>
            <w:tcW w:w="4079" w:type="dxa"/>
            <w:vAlign w:val="center"/>
          </w:tcPr>
          <w:p w14:paraId="48B678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好友、排名、精力互赠、求助、周赛</w:t>
            </w:r>
          </w:p>
        </w:tc>
        <w:tc>
          <w:tcPr>
            <w:tcW w:w="3065" w:type="dxa"/>
            <w:vAlign w:val="center"/>
          </w:tcPr>
          <w:p w14:paraId="01FF1B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提供轻度互动、资源互助和回流动力。</w:t>
            </w:r>
          </w:p>
        </w:tc>
      </w:tr>
      <w:tr w14:paraId="08874D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8" w:type="dxa"/>
            <w:vAlign w:val="center"/>
          </w:tcPr>
          <w:p w14:paraId="63E421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成就系统</w:t>
            </w:r>
          </w:p>
        </w:tc>
        <w:tc>
          <w:tcPr>
            <w:tcW w:w="4079" w:type="dxa"/>
            <w:vAlign w:val="center"/>
          </w:tcPr>
          <w:p w14:paraId="0A566A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闯关成就、星级成就、操作成就、勋章</w:t>
            </w:r>
          </w:p>
        </w:tc>
        <w:tc>
          <w:tcPr>
            <w:tcW w:w="3065" w:type="dxa"/>
            <w:vAlign w:val="center"/>
          </w:tcPr>
          <w:p w14:paraId="479B7C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记录长期投入，提供荣誉感和阶段目标。</w:t>
            </w:r>
          </w:p>
        </w:tc>
      </w:tr>
      <w:tr w14:paraId="336EFE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8" w:type="dxa"/>
            <w:vAlign w:val="center"/>
          </w:tcPr>
          <w:p w14:paraId="1B6239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活动运营</w:t>
            </w:r>
          </w:p>
        </w:tc>
        <w:tc>
          <w:tcPr>
            <w:tcW w:w="4079" w:type="dxa"/>
            <w:vAlign w:val="center"/>
          </w:tcPr>
          <w:p w14:paraId="28B3C1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周赛、周年活动、限时挑战、联动活动、线下竞技</w:t>
            </w:r>
          </w:p>
        </w:tc>
        <w:tc>
          <w:tcPr>
            <w:tcW w:w="3065" w:type="dxa"/>
            <w:vAlign w:val="center"/>
          </w:tcPr>
          <w:p w14:paraId="411C75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提升内容新鲜感、短期活跃和品牌传播。</w:t>
            </w:r>
          </w:p>
        </w:tc>
      </w:tr>
      <w:tr w14:paraId="4211B8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8" w:type="dxa"/>
            <w:vAlign w:val="center"/>
          </w:tcPr>
          <w:p w14:paraId="4A1282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IP包装</w:t>
            </w:r>
          </w:p>
        </w:tc>
        <w:tc>
          <w:tcPr>
            <w:tcW w:w="4079" w:type="dxa"/>
            <w:vAlign w:val="center"/>
          </w:tcPr>
          <w:p w14:paraId="182FB7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动物角色、开心村、周年主题、线下巡游</w:t>
            </w:r>
          </w:p>
        </w:tc>
        <w:tc>
          <w:tcPr>
            <w:tcW w:w="3065" w:type="dxa"/>
            <w:vAlign w:val="center"/>
          </w:tcPr>
          <w:p w14:paraId="05AF66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增强用户记忆和情绪连接。</w:t>
            </w:r>
          </w:p>
        </w:tc>
      </w:tr>
    </w:tbl>
    <w:p w14:paraId="2FF52BA4">
      <w:pPr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bookmarkStart w:id="11" w:name="_Toc31428"/>
    </w:p>
    <w:p w14:paraId="5CF7789F">
      <w:pPr>
        <w:ind w:firstLine="420" w:firstLineChars="200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所有外围系统都没有脱离“继续闯关”这一主行为，而是在不同阶段承担目标、补给、反馈和回流。</w:t>
      </w:r>
    </w:p>
    <w:p w14:paraId="6FCA9956">
      <w:pPr>
        <w:pStyle w:val="2"/>
        <w:bidi w:val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三、系统分析</w:t>
      </w:r>
      <w:bookmarkEnd w:id="11"/>
    </w:p>
    <w:p w14:paraId="16618715">
      <w:pPr>
        <w:pStyle w:val="3"/>
        <w:bidi w:val="0"/>
        <w:rPr>
          <w:rFonts w:hint="eastAsia"/>
          <w:lang w:val="en-US" w:eastAsia="zh-CN"/>
        </w:rPr>
      </w:pPr>
      <w:bookmarkStart w:id="12" w:name="_Toc31944"/>
      <w:r>
        <w:rPr>
          <w:rFonts w:hint="eastAsia"/>
          <w:lang w:val="en-US" w:eastAsia="zh-CN"/>
        </w:rPr>
        <w:t>3.1系统定位</w:t>
      </w:r>
      <w:bookmarkEnd w:id="12"/>
    </w:p>
    <w:tbl>
      <w:tblPr>
        <w:tblStyle w:val="11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8"/>
        <w:gridCol w:w="3253"/>
        <w:gridCol w:w="3711"/>
      </w:tblGrid>
      <w:tr w14:paraId="7FCBBF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58" w:type="dxa"/>
            <w:shd w:val="clear" w:color="auto" w:fill="D4F4F1" w:themeFill="accent5" w:themeFillTint="32"/>
            <w:vAlign w:val="center"/>
          </w:tcPr>
          <w:p w14:paraId="347BAC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系统</w:t>
            </w:r>
          </w:p>
        </w:tc>
        <w:tc>
          <w:tcPr>
            <w:tcW w:w="3253" w:type="dxa"/>
            <w:shd w:val="clear" w:color="auto" w:fill="D4F4F1" w:themeFill="accent5" w:themeFillTint="32"/>
            <w:vAlign w:val="center"/>
          </w:tcPr>
          <w:p w14:paraId="31E09C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定位</w:t>
            </w:r>
          </w:p>
        </w:tc>
        <w:tc>
          <w:tcPr>
            <w:tcW w:w="3711" w:type="dxa"/>
            <w:shd w:val="clear" w:color="auto" w:fill="D4F4F1" w:themeFill="accent5" w:themeFillTint="32"/>
            <w:vAlign w:val="center"/>
          </w:tcPr>
          <w:p w14:paraId="364BCA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核心价值</w:t>
            </w:r>
          </w:p>
        </w:tc>
      </w:tr>
      <w:tr w14:paraId="0B97C4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58" w:type="dxa"/>
            <w:vAlign w:val="center"/>
          </w:tcPr>
          <w:p w14:paraId="439E60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角色系统</w:t>
            </w:r>
          </w:p>
        </w:tc>
        <w:tc>
          <w:tcPr>
            <w:tcW w:w="3253" w:type="dxa"/>
            <w:vAlign w:val="center"/>
          </w:tcPr>
          <w:p w14:paraId="514B6D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消除玩法的视觉载体与情绪锚点</w:t>
            </w:r>
          </w:p>
        </w:tc>
        <w:tc>
          <w:tcPr>
            <w:tcW w:w="3711" w:type="dxa"/>
            <w:vAlign w:val="center"/>
          </w:tcPr>
          <w:p w14:paraId="75AEF4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通过六种动物形象降低识别成本，并形成长期品牌记忆。</w:t>
            </w:r>
          </w:p>
        </w:tc>
      </w:tr>
      <w:tr w14:paraId="61DDE0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58" w:type="dxa"/>
            <w:vAlign w:val="center"/>
          </w:tcPr>
          <w:p w14:paraId="036227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玩法系统</w:t>
            </w:r>
          </w:p>
        </w:tc>
        <w:tc>
          <w:tcPr>
            <w:tcW w:w="3253" w:type="dxa"/>
            <w:vAlign w:val="center"/>
          </w:tcPr>
          <w:p w14:paraId="098B20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核心循环与即时反馈引擎</w:t>
            </w:r>
          </w:p>
        </w:tc>
        <w:tc>
          <w:tcPr>
            <w:tcW w:w="3711" w:type="dxa"/>
            <w:vAlign w:val="center"/>
          </w:tcPr>
          <w:p w14:paraId="7FF0CD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三消基础规则、特效组合和视听反馈共同提供爽感与策略深度。</w:t>
            </w:r>
          </w:p>
        </w:tc>
      </w:tr>
      <w:tr w14:paraId="7B68D3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58" w:type="dxa"/>
            <w:vAlign w:val="center"/>
          </w:tcPr>
          <w:p w14:paraId="5DFB06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道具系统</w:t>
            </w:r>
          </w:p>
        </w:tc>
        <w:tc>
          <w:tcPr>
            <w:tcW w:w="3253" w:type="dxa"/>
            <w:vAlign w:val="center"/>
          </w:tcPr>
          <w:p w14:paraId="3BC8A5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失败缓冲与商业化触点</w:t>
            </w:r>
          </w:p>
        </w:tc>
        <w:tc>
          <w:tcPr>
            <w:tcW w:w="3711" w:type="dxa"/>
            <w:vAlign w:val="center"/>
          </w:tcPr>
          <w:p w14:paraId="1DF5DA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帮助玩家处理卡关、坏局面和差少量步数的临界失败。</w:t>
            </w:r>
          </w:p>
        </w:tc>
      </w:tr>
      <w:tr w14:paraId="3500FB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58" w:type="dxa"/>
            <w:vAlign w:val="center"/>
          </w:tcPr>
          <w:p w14:paraId="5A0278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障碍物系统</w:t>
            </w:r>
          </w:p>
        </w:tc>
        <w:tc>
          <w:tcPr>
            <w:tcW w:w="3253" w:type="dxa"/>
            <w:vAlign w:val="center"/>
          </w:tcPr>
          <w:p w14:paraId="0F5730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难度阶梯与关卡变量</w:t>
            </w:r>
          </w:p>
        </w:tc>
        <w:tc>
          <w:tcPr>
            <w:tcW w:w="3711" w:type="dxa"/>
            <w:vAlign w:val="center"/>
          </w:tcPr>
          <w:p w14:paraId="7D8CF4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通过不同局部规则改变玩家解题方式，延长玩法生命周期。</w:t>
            </w:r>
          </w:p>
        </w:tc>
      </w:tr>
      <w:tr w14:paraId="11B509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58" w:type="dxa"/>
            <w:vAlign w:val="center"/>
          </w:tcPr>
          <w:p w14:paraId="1D531D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关卡系统</w:t>
            </w:r>
          </w:p>
        </w:tc>
        <w:tc>
          <w:tcPr>
            <w:tcW w:w="3253" w:type="dxa"/>
            <w:vAlign w:val="center"/>
          </w:tcPr>
          <w:p w14:paraId="7EFC1E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内容载体与长线目标</w:t>
            </w:r>
          </w:p>
        </w:tc>
        <w:tc>
          <w:tcPr>
            <w:tcW w:w="3711" w:type="dxa"/>
            <w:vAlign w:val="center"/>
          </w:tcPr>
          <w:p w14:paraId="1FB7AC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持续更新主线和精英关，承载区域、星级和活动目标。</w:t>
            </w:r>
          </w:p>
        </w:tc>
      </w:tr>
      <w:tr w14:paraId="608A7F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58" w:type="dxa"/>
            <w:vAlign w:val="center"/>
          </w:tcPr>
          <w:p w14:paraId="2AE379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经济系统</w:t>
            </w:r>
          </w:p>
        </w:tc>
        <w:tc>
          <w:tcPr>
            <w:tcW w:w="3253" w:type="dxa"/>
            <w:vAlign w:val="center"/>
          </w:tcPr>
          <w:p w14:paraId="733012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资源中枢与付费转化框架</w:t>
            </w:r>
          </w:p>
        </w:tc>
        <w:tc>
          <w:tcPr>
            <w:tcW w:w="3711" w:type="dxa"/>
            <w:vAlign w:val="center"/>
          </w:tcPr>
          <w:p w14:paraId="213A7F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连接免费资源、付费资源、体力、道具和活动奖励。</w:t>
            </w:r>
          </w:p>
        </w:tc>
      </w:tr>
      <w:tr w14:paraId="0908AF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58" w:type="dxa"/>
            <w:vAlign w:val="center"/>
          </w:tcPr>
          <w:p w14:paraId="65D8BA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社交系统</w:t>
            </w:r>
          </w:p>
        </w:tc>
        <w:tc>
          <w:tcPr>
            <w:tcW w:w="3253" w:type="dxa"/>
            <w:vAlign w:val="center"/>
          </w:tcPr>
          <w:p w14:paraId="0B7180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轻度竞争与互助网络</w:t>
            </w:r>
          </w:p>
        </w:tc>
        <w:tc>
          <w:tcPr>
            <w:tcW w:w="3711" w:type="dxa"/>
            <w:vAlign w:val="center"/>
          </w:tcPr>
          <w:p w14:paraId="57255B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通过排名、送精力、求助和周赛提高回访。</w:t>
            </w:r>
          </w:p>
        </w:tc>
      </w:tr>
      <w:tr w14:paraId="6B42AD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58" w:type="dxa"/>
            <w:vAlign w:val="center"/>
          </w:tcPr>
          <w:p w14:paraId="41AED3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成就系统</w:t>
            </w:r>
          </w:p>
        </w:tc>
        <w:tc>
          <w:tcPr>
            <w:tcW w:w="3253" w:type="dxa"/>
            <w:vAlign w:val="center"/>
          </w:tcPr>
          <w:p w14:paraId="085153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长期投入记录器</w:t>
            </w:r>
          </w:p>
        </w:tc>
        <w:tc>
          <w:tcPr>
            <w:tcW w:w="3711" w:type="dxa"/>
            <w:vAlign w:val="center"/>
          </w:tcPr>
          <w:p w14:paraId="659A74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沉淀玩家历史行为，提供荣誉与收藏目标。</w:t>
            </w:r>
          </w:p>
        </w:tc>
      </w:tr>
      <w:tr w14:paraId="7E4B7A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58" w:type="dxa"/>
            <w:vAlign w:val="center"/>
          </w:tcPr>
          <w:p w14:paraId="2BA9B1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活动运营系统</w:t>
            </w:r>
          </w:p>
        </w:tc>
        <w:tc>
          <w:tcPr>
            <w:tcW w:w="3253" w:type="dxa"/>
            <w:vAlign w:val="center"/>
          </w:tcPr>
          <w:p w14:paraId="7C6552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内容保鲜与回流引擎</w:t>
            </w:r>
          </w:p>
        </w:tc>
        <w:tc>
          <w:tcPr>
            <w:tcW w:w="3711" w:type="dxa"/>
            <w:vAlign w:val="center"/>
          </w:tcPr>
          <w:p w14:paraId="022E81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通过周期活动、周年活动和联动内容制造短期目标。</w:t>
            </w:r>
          </w:p>
        </w:tc>
      </w:tr>
    </w:tbl>
    <w:p w14:paraId="5F4FC7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宋体" w:hAnsi="宋体" w:eastAsia="宋体" w:cs="宋体"/>
          <w:b/>
          <w:bCs/>
          <w:color w:val="FFFFFF" w:themeColor="background1"/>
          <w:sz w:val="21"/>
          <w:szCs w:val="21"/>
          <w:lang w:val="en-US" w:eastAsia="zh-CN"/>
          <w14:textFill>
            <w14:solidFill>
              <w14:schemeClr w14:val="bg1"/>
            </w14:solidFill>
          </w14:textFill>
        </w:rPr>
      </w:pPr>
    </w:p>
    <w:p w14:paraId="3FB49421">
      <w:pPr>
        <w:pStyle w:val="3"/>
        <w:bidi w:val="0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bookmarkStart w:id="13" w:name="_Toc23240"/>
      <w:r>
        <w:rPr>
          <w:rFonts w:hint="eastAsia"/>
          <w:lang w:val="en-US" w:eastAsia="zh-CN"/>
        </w:rPr>
        <w:t>3.2整体感情基调</w:t>
      </w:r>
      <w:bookmarkEnd w:id="13"/>
    </w:p>
    <w:p w14:paraId="6C9EF06D">
      <w:pPr>
        <w:ind w:firstLine="420" w:firstLineChars="200"/>
        <w:jc w:val="both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《开心消消乐》的整体情感基调是“轻松、明亮、正向、陪伴”。它不像中重度产品那样强调强冲突、强胜负和高压成长，而是通过明亮画面、动物表情、连续消除音效和阶段性奖励，为玩家持续制造放松体验。</w:t>
      </w:r>
    </w:p>
    <w:p w14:paraId="49B7168A">
      <w:pPr>
        <w:ind w:firstLine="420" w:firstLineChars="200"/>
        <w:jc w:val="both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这种情感基调反过来决定了系统设计的边界：难度可以提升，但不能长期让玩家无力；商业化可以存在，但不应频繁打断轻松感；活动可以丰富，但不能让学习成本不断累积。</w:t>
      </w:r>
    </w:p>
    <w:p w14:paraId="408875A5">
      <w:pPr>
        <w:ind w:firstLine="420" w:firstLineChars="200"/>
        <w:jc w:val="both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产品当前的核心矛盾是：一方面要保持“简单快乐”的休闲定位，另一方面又必须通过高关卡、复杂障碍、资源消耗和活动更新维持长线生命周期。优秀的系统设计，就在于长期平衡这两者。</w:t>
      </w:r>
    </w:p>
    <w:p w14:paraId="4850DDED">
      <w:pPr>
        <w:ind w:firstLine="420" w:firstLineChars="200"/>
        <w:jc w:val="both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 w14:paraId="29E9861B">
      <w:pPr>
        <w:pStyle w:val="3"/>
        <w:bidi w:val="0"/>
        <w:rPr>
          <w:rFonts w:hint="eastAsia"/>
          <w:lang w:val="en-US" w:eastAsia="zh-CN"/>
        </w:rPr>
      </w:pPr>
      <w:bookmarkStart w:id="14" w:name="_Toc22931"/>
      <w:r>
        <w:rPr>
          <w:rFonts w:hint="eastAsia"/>
          <w:lang w:val="en-US" w:eastAsia="zh-CN"/>
        </w:rPr>
        <w:t>3.3系统之间的配合关系</w:t>
      </w:r>
      <w:bookmarkEnd w:id="14"/>
    </w:p>
    <w:p w14:paraId="644E7D19"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343525" cy="1058545"/>
            <wp:effectExtent l="0" t="0" r="9525" b="8255"/>
            <wp:docPr id="50" name="图片 50" descr="开心消消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开心消消乐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105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41402">
      <w:pPr>
        <w:ind w:firstLine="420" w:firstLineChars="200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《开心消消乐》的系统配合关系可以概括为“一切围绕关卡”。角色负责棋盘表达，障碍负责关卡变化，道具负责失败缓冲，经济负责资源调度，社交负责回流辅助，活动负责短期目标，成就负责长期记录。</w:t>
      </w:r>
    </w:p>
    <w:p w14:paraId="425C92DE">
      <w:pPr>
        <w:ind w:firstLine="420" w:firstLineChars="200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tbl>
      <w:tblPr>
        <w:tblStyle w:val="11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71"/>
        <w:gridCol w:w="5651"/>
      </w:tblGrid>
      <w:tr w14:paraId="5F6174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71" w:type="dxa"/>
            <w:shd w:val="clear" w:color="auto" w:fill="1F4E79"/>
            <w:vAlign w:val="center"/>
          </w:tcPr>
          <w:p w14:paraId="305396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21"/>
                <w:szCs w:val="2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21"/>
                <w:szCs w:val="2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链路</w:t>
            </w:r>
          </w:p>
        </w:tc>
        <w:tc>
          <w:tcPr>
            <w:tcW w:w="5651" w:type="dxa"/>
            <w:shd w:val="clear" w:color="auto" w:fill="1F4E79"/>
            <w:vAlign w:val="center"/>
          </w:tcPr>
          <w:p w14:paraId="013717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21"/>
                <w:szCs w:val="2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21"/>
                <w:szCs w:val="2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</w:tr>
      <w:tr w14:paraId="18EE79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71" w:type="dxa"/>
            <w:vAlign w:val="center"/>
          </w:tcPr>
          <w:p w14:paraId="6BD5C7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单局链路</w:t>
            </w:r>
          </w:p>
        </w:tc>
        <w:tc>
          <w:tcPr>
            <w:tcW w:w="5651" w:type="dxa"/>
            <w:vAlign w:val="center"/>
          </w:tcPr>
          <w:p w14:paraId="137138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进入关卡→观察棋盘→消除/制造特效→完成目标→结算星级与奖励。</w:t>
            </w:r>
          </w:p>
        </w:tc>
      </w:tr>
      <w:tr w14:paraId="0AB21A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71" w:type="dxa"/>
            <w:vAlign w:val="center"/>
          </w:tcPr>
          <w:p w14:paraId="1ADF74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失败链路</w:t>
            </w:r>
          </w:p>
        </w:tc>
        <w:tc>
          <w:tcPr>
            <w:tcW w:w="5651" w:type="dxa"/>
            <w:vAlign w:val="center"/>
          </w:tcPr>
          <w:p w14:paraId="3346B6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失败或差少量步数→推荐道具/额外步数/求助→再次尝试。</w:t>
            </w:r>
          </w:p>
        </w:tc>
      </w:tr>
      <w:tr w14:paraId="454A8B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71" w:type="dxa"/>
            <w:vAlign w:val="center"/>
          </w:tcPr>
          <w:p w14:paraId="40CDD9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长期链路</w:t>
            </w:r>
          </w:p>
        </w:tc>
        <w:tc>
          <w:tcPr>
            <w:tcW w:w="5651" w:type="dxa"/>
            <w:vAlign w:val="center"/>
          </w:tcPr>
          <w:p w14:paraId="370C3D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推进主线→获得星星和资源→解锁区域/参与活动→继续推进。</w:t>
            </w:r>
          </w:p>
        </w:tc>
      </w:tr>
      <w:tr w14:paraId="3B469E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71" w:type="dxa"/>
            <w:vAlign w:val="center"/>
          </w:tcPr>
          <w:p w14:paraId="604E9D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回流链路</w:t>
            </w:r>
          </w:p>
        </w:tc>
        <w:tc>
          <w:tcPr>
            <w:tcW w:w="5651" w:type="dxa"/>
            <w:vAlign w:val="center"/>
          </w:tcPr>
          <w:p w14:paraId="33FB76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体力恢复、果树收获、周赛刷新、限时活动开启→促使玩家重新上线。</w:t>
            </w:r>
          </w:p>
        </w:tc>
      </w:tr>
      <w:tr w14:paraId="187B2C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71" w:type="dxa"/>
            <w:vAlign w:val="center"/>
          </w:tcPr>
          <w:p w14:paraId="1EDABC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商业化链路</w:t>
            </w:r>
          </w:p>
        </w:tc>
        <w:tc>
          <w:tcPr>
            <w:tcW w:w="5651" w:type="dxa"/>
            <w:vAlign w:val="center"/>
          </w:tcPr>
          <w:p w14:paraId="08B5DC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卡关、体力不足、活动奖励缺口→礼包、风车币、精力瓶等付费商品承接。</w:t>
            </w:r>
          </w:p>
        </w:tc>
      </w:tr>
    </w:tbl>
    <w:p w14:paraId="7FDF1919">
      <w:pPr>
        <w:ind w:firstLine="420" w:firstLineChars="200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111E5FAB">
      <w:pPr>
        <w:jc w:val="both"/>
        <w:rPr>
          <w:rFonts w:hint="eastAsia" w:ascii="宋体" w:hAnsi="宋体" w:cs="宋体" w:eastAsiaTheme="minorEastAsia"/>
          <w:sz w:val="21"/>
          <w:szCs w:val="21"/>
          <w:lang w:val="en-US" w:eastAsia="zh-CN"/>
        </w:rPr>
      </w:pPr>
      <w:r>
        <w:rPr>
          <w:rFonts w:hint="eastAsia" w:ascii="宋体" w:hAnsi="宋体" w:cs="宋体" w:eastAsiaTheme="minorEastAsia"/>
          <w:sz w:val="21"/>
          <w:szCs w:val="21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53" name="图片 53" descr="5d32c607f3cf3700a138db5e7d8a49d4_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5d32c607f3cf3700a138db5e7d8a49d4_72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86444">
      <w:pPr>
        <w:pStyle w:val="2"/>
        <w:bidi w:val="0"/>
        <w:rPr>
          <w:rFonts w:hint="eastAsia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bookmarkStart w:id="15" w:name="_Toc1025"/>
      <w:r>
        <w:rPr>
          <w:rFonts w:hint="eastAsia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四、分析观点</w:t>
      </w:r>
      <w:bookmarkEnd w:id="15"/>
    </w:p>
    <w:p w14:paraId="24DC61D4">
      <w:pPr>
        <w:pStyle w:val="3"/>
        <w:bidi w:val="0"/>
        <w:rPr>
          <w:rFonts w:hint="eastAsia"/>
          <w:lang w:val="en-US" w:eastAsia="zh-CN"/>
        </w:rPr>
      </w:pPr>
      <w:bookmarkStart w:id="16" w:name="_Toc31925"/>
      <w:r>
        <w:rPr>
          <w:rFonts w:hint="eastAsia"/>
          <w:lang w:val="en-US" w:eastAsia="zh-CN"/>
        </w:rPr>
        <w:t>4.1游戏理解与分析</w:t>
      </w:r>
      <w:bookmarkEnd w:id="16"/>
    </w:p>
    <w:p w14:paraId="20D8DB3D">
      <w:p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《开心消消乐》能够长期处在休闲三消头部，并不依赖某个单点爆款设计，而是形成了“内容供给—失败缓冲—轻度社交—活动回流—经济转化”的稳定闭环。</w:t>
      </w:r>
    </w:p>
    <w:p w14:paraId="0CE5E2F5">
      <w:p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第一层是内容供给。主线关和精英关持续更新，让长期玩家始终有推进目标；第二层是失败缓冲。高难关卡不可避免会产生卡关，而道具、额外步数、精力补给、好友求助和活动奖励共同承担“把玩家从失败边缘拉回游戏”的作用。</w:t>
      </w:r>
    </w:p>
    <w:p w14:paraId="65071C29">
      <w:p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第三层是轻度社交。好友排名、精力互赠、周赛和求助不会强迫玩家组队，却能在关键时刻提供资源和比较目标；第四层是活动回流。主题活动、节日活动和阶段任务不断给老玩法换包装，使玩家即使熟悉三消规则，也能获得新的短期目标。</w:t>
      </w:r>
    </w:p>
    <w:p w14:paraId="6C52D3AA">
      <w:p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最后，这些行为再通过资源消耗和效率提升完成商业转化。总体来看，《开心消消乐》的系统设计关键词是“克制”：它没有把休闲三消改造成重度养成，也没有用复杂外围系统挤压核心玩法，而是长期围绕消除体验做内容、反馈和运营扩展。</w:t>
      </w:r>
    </w:p>
    <w:p w14:paraId="780EC7F4">
      <w:p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《开心消消乐》的竞争优势不是单项玩法创新，而是长期内容供给、低学习成本、失败缓冲和轻商业化压力之间的平衡。</w:t>
      </w:r>
    </w:p>
    <w:p w14:paraId="78FA9611">
      <w:pPr>
        <w:pStyle w:val="3"/>
        <w:bidi w:val="0"/>
        <w:rPr>
          <w:rFonts w:hint="eastAsia"/>
          <w:lang w:val="en-US" w:eastAsia="zh-CN"/>
        </w:rPr>
      </w:pPr>
      <w:bookmarkStart w:id="17" w:name="_Toc9548"/>
      <w:r>
        <w:rPr>
          <w:rFonts w:hint="eastAsia"/>
          <w:lang w:val="en-US" w:eastAsia="zh-CN"/>
        </w:rPr>
        <w:t>4.2优点</w:t>
      </w:r>
      <w:bookmarkEnd w:id="17"/>
    </w:p>
    <w:p w14:paraId="5AB0EC3D">
      <w:pPr>
        <w:jc w:val="both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1、核心规则低门槛，适合全年龄用户</w:t>
      </w:r>
    </w:p>
    <w:p w14:paraId="4B15B756">
      <w:p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三消规则直观，玩家通过几步操作即可理解玩法。</w:t>
      </w:r>
    </w:p>
    <w:p w14:paraId="3964D926">
      <w:pPr>
        <w:jc w:val="both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2、即时反馈密度高</w:t>
      </w:r>
    </w:p>
    <w:p w14:paraId="5CA4AA51">
      <w:p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消除音效、连锁动画、特效爆炸、动物表情和结算奖励构成连续正反馈。玩家的一次操作能被系统放大为多次奖励信号。</w:t>
      </w:r>
    </w:p>
    <w:p w14:paraId="7FB82885">
      <w:pPr>
        <w:jc w:val="both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3、关卡更新能力强</w:t>
      </w:r>
    </w:p>
    <w:p w14:paraId="62DA83FC">
      <w:p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长线休闲游戏最重要的内容能力之一，就是持续稳定供给新关卡。截至2026年4月24日，主线关已经更新至12255关，精英关更新至2448关，并保持稳定新增。</w:t>
      </w:r>
    </w:p>
    <w:p w14:paraId="4C271D6D">
      <w:pPr>
        <w:jc w:val="both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4、系统目标清晰</w:t>
      </w:r>
    </w:p>
    <w:p w14:paraId="5298B781">
      <w:p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无论活动、周赛、成就还是经济系统，最终都围绕“继续闯关”展开。玩家不会因为系统过多而迷失主目标。</w:t>
      </w:r>
    </w:p>
    <w:p w14:paraId="5CF889FD">
      <w:pPr>
        <w:jc w:val="both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5、轻社交不制造过强压力</w:t>
      </w:r>
    </w:p>
    <w:p w14:paraId="6A1CE7D3">
      <w:p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好友、排名、送精力和求助都属于低压力社交。玩家可以参与，也可以完全按单机方式游玩。</w:t>
      </w:r>
    </w:p>
    <w:p w14:paraId="79151C7C">
      <w:pPr>
        <w:jc w:val="both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6、活动运营具备品牌化能力</w:t>
      </w:r>
    </w:p>
    <w:p w14:paraId="314C9500">
      <w:p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它能够把老玩法持续包装成新的短期目标和节日体验。</w:t>
      </w:r>
    </w:p>
    <w:p w14:paraId="7DDF9CAB">
      <w:pPr>
        <w:jc w:val="both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7、角色形象稳定，品牌记忆强</w:t>
      </w:r>
    </w:p>
    <w:p w14:paraId="08D51A33">
      <w:p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六种动物长期作为基础棋子出现，既承担识别功能，也形成用户记忆。稳定形象比频繁换皮更适合国民级休闲游戏。</w:t>
      </w:r>
    </w:p>
    <w:p w14:paraId="38A97F9C">
      <w:pPr>
        <w:pStyle w:val="3"/>
        <w:bidi w:val="0"/>
        <w:rPr>
          <w:rFonts w:hint="eastAsia"/>
          <w:lang w:val="en-US" w:eastAsia="zh-CN"/>
        </w:rPr>
      </w:pPr>
      <w:bookmarkStart w:id="18" w:name="_Toc17247"/>
      <w:r>
        <w:rPr>
          <w:rFonts w:hint="eastAsia"/>
          <w:lang w:val="en-US" w:eastAsia="zh-CN"/>
        </w:rPr>
        <w:t>4.3缺点</w:t>
      </w:r>
      <w:bookmarkEnd w:id="18"/>
    </w:p>
    <w:p w14:paraId="44DCEE5B">
      <w:pPr>
        <w:jc w:val="both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1、后期关卡随机性争议明显</w:t>
      </w:r>
    </w:p>
    <w:p w14:paraId="37955421">
      <w:p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当障碍密度高、步数紧、初始盘面不利时，玩家容易感觉通关依赖运气。这会削弱“我通过策略解决问题”的成就感。</w:t>
      </w:r>
    </w:p>
    <w:p w14:paraId="4CF993DE">
      <w:pPr>
        <w:jc w:val="both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2、卡关与体力限制叠加会放大挫败</w:t>
      </w:r>
    </w:p>
    <w:p w14:paraId="2B59E5F4">
      <w:p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失败本身已经消耗情绪，如果连续失败后又体力不足，玩家会从“我再试一次”转向“系统不让我玩”。</w:t>
      </w:r>
    </w:p>
    <w:p w14:paraId="197CFD90">
      <w:pPr>
        <w:jc w:val="both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3、道具经济容易产生资源焦虑</w:t>
      </w:r>
    </w:p>
    <w:p w14:paraId="4F05F406">
      <w:p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高难关卡若需要频繁使用道具，而日常资源产出不足，免费玩家会出现“不舍得用—继续失败—更挫败”的循环。</w:t>
      </w:r>
    </w:p>
    <w:p w14:paraId="7304AB69">
      <w:pPr>
        <w:jc w:val="both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4、三星评分反馈不够细</w:t>
      </w:r>
    </w:p>
    <w:p w14:paraId="7859B9BF">
      <w:p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玩家知道自己没有三星，但不一定知道差在剩余步数、连消、特效还是目标效率。缺少分项反馈会降低补星意愿。</w:t>
      </w:r>
    </w:p>
    <w:p w14:paraId="7E27F6D6">
      <w:pPr>
        <w:jc w:val="both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5、成就系统过程激励不足</w:t>
      </w:r>
    </w:p>
    <w:p w14:paraId="596AAA5C">
      <w:p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长期成就如果没有阶段进度和中途奖励，很容易变成后台记录，而不是持续驱动玩家的目标。</w:t>
      </w:r>
    </w:p>
    <w:p w14:paraId="11056401">
      <w:pPr>
        <w:jc w:val="both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6、角色IP在局内承载不足</w:t>
      </w:r>
    </w:p>
    <w:p w14:paraId="3BA2FA8F">
      <w:p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动物角色在外部品牌传播中价值较高，但在局内仍主要是棋子，缺少轻剧情、角色任务和可收集表达。</w:t>
      </w:r>
    </w:p>
    <w:p w14:paraId="579E3B56">
      <w:pPr>
        <w:jc w:val="both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7、活动入口与弹窗需要控制复杂度</w:t>
      </w:r>
    </w:p>
    <w:p w14:paraId="0655AF0E">
      <w:p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长线运营会带来入口增多和提示增多影响，新手与回流体验。若同屏活动、礼包和任务过多，新手或回流玩家会产生理解成本。</w:t>
      </w:r>
    </w:p>
    <w:p w14:paraId="4CAF0381">
      <w:pPr>
        <w:jc w:val="both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8、混合变现的节奏需要更克制</w:t>
      </w:r>
    </w:p>
    <w:p w14:paraId="5830974A">
      <w:p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若商业化提示频率过高，容易影响休闲产品的轻松感。</w:t>
      </w:r>
    </w:p>
    <w:p w14:paraId="515D61CB">
      <w:pPr>
        <w:pStyle w:val="3"/>
        <w:bidi w:val="0"/>
        <w:rPr>
          <w:rFonts w:hint="default"/>
          <w:lang w:val="en-US" w:eastAsia="zh-CN"/>
        </w:rPr>
      </w:pPr>
      <w:bookmarkStart w:id="19" w:name="_Toc29140"/>
      <w:r>
        <w:rPr>
          <w:rFonts w:hint="default"/>
          <w:lang w:val="en-US" w:eastAsia="zh-CN"/>
        </w:rPr>
        <w:t>4.</w:t>
      </w:r>
      <w:r>
        <w:rPr>
          <w:rFonts w:hint="eastAsia"/>
          <w:lang w:val="en-US" w:eastAsia="zh-CN"/>
        </w:rPr>
        <w:t>4</w:t>
      </w:r>
      <w:r>
        <w:rPr>
          <w:rFonts w:hint="default"/>
          <w:lang w:val="en-US" w:eastAsia="zh-CN"/>
        </w:rPr>
        <w:t xml:space="preserve"> 成功要素</w:t>
      </w:r>
      <w:bookmarkEnd w:id="19"/>
    </w:p>
    <w:p w14:paraId="726AA5B8">
      <w:pPr>
        <w:jc w:val="both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1、玩法克制</w:t>
      </w:r>
    </w:p>
    <w:p w14:paraId="5D1DD4CA">
      <w:p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游戏没有频繁改变三消底层规则，而是在特效、障碍和关卡目标上不断扩展，使老玩家无需重新学习，新玩家也能快速进入。</w:t>
      </w:r>
    </w:p>
    <w:p w14:paraId="3075D932">
      <w:pPr>
        <w:jc w:val="both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2、内容稳定更新</w:t>
      </w:r>
    </w:p>
    <w:p w14:paraId="3CADA2E3">
      <w:p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长期持续更新主线关和精英关，使玩家始终有新目标。对休闲游戏而言，内容不断档就是留存基础。</w:t>
      </w:r>
    </w:p>
    <w:p w14:paraId="0B1CA275">
      <w:pPr>
        <w:jc w:val="both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3、游戏反馈密集</w:t>
      </w:r>
    </w:p>
    <w:p w14:paraId="4106EA4B">
      <w:p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每次消除都能触发视觉、听觉和情绪反馈，保证碎片化游玩也有即时满足。</w:t>
      </w:r>
    </w:p>
    <w:p w14:paraId="08B9112B">
      <w:pPr>
        <w:jc w:val="both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4、社交氛围轻松</w:t>
      </w:r>
    </w:p>
    <w:p w14:paraId="4E11688C">
      <w:p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好友互助、排名和周赛提供互动，但不强迫玩家参与，适合休闲用户的低压力需求。</w:t>
      </w:r>
    </w:p>
    <w:p w14:paraId="0BC3540B">
      <w:pPr>
        <w:jc w:val="both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5、运营品牌化</w:t>
      </w:r>
    </w:p>
    <w:p w14:paraId="36D56EFD">
      <w:p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十二周年城市活动说明《开心消消乐》已经不只是线上三消产品，而是具备线下传播和大众文化记忆的休闲IP。</w:t>
      </w:r>
    </w:p>
    <w:p w14:paraId="5B630F7B">
      <w:pPr>
        <w:jc w:val="both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6、经济系统弹性</w:t>
      </w:r>
    </w:p>
    <w:p w14:paraId="48D92DA8">
      <w:p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免费路径和付费路径同时存在，玩家可以靠日常补给推进，也可以通过购买资源提高效率。商业化与基础游玩之间仍保持一定距离。</w:t>
      </w:r>
    </w:p>
    <w:p w14:paraId="012AABA6">
      <w:pPr>
        <w:pStyle w:val="3"/>
        <w:bidi w:val="0"/>
        <w:rPr>
          <w:rFonts w:hint="default"/>
          <w:lang w:val="en-US" w:eastAsia="zh-CN"/>
        </w:rPr>
      </w:pPr>
      <w:bookmarkStart w:id="20" w:name="_Toc7133"/>
      <w:r>
        <w:rPr>
          <w:rFonts w:hint="eastAsia"/>
          <w:lang w:val="en-US" w:eastAsia="zh-CN"/>
        </w:rPr>
        <w:t>4.5改进建议</w:t>
      </w:r>
      <w:bookmarkEnd w:id="20"/>
    </w:p>
    <w:tbl>
      <w:tblPr>
        <w:tblStyle w:val="11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15"/>
        <w:gridCol w:w="3026"/>
        <w:gridCol w:w="2133"/>
        <w:gridCol w:w="1048"/>
      </w:tblGrid>
      <w:tr w14:paraId="02EA62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15" w:type="dxa"/>
            <w:shd w:val="clear" w:color="auto" w:fill="D4F4F1" w:themeFill="accent5" w:themeFillTint="32"/>
            <w:vAlign w:val="center"/>
          </w:tcPr>
          <w:p w14:paraId="685D5F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问题</w:t>
            </w:r>
          </w:p>
        </w:tc>
        <w:tc>
          <w:tcPr>
            <w:tcW w:w="3026" w:type="dxa"/>
            <w:shd w:val="clear" w:color="auto" w:fill="D4F4F1" w:themeFill="accent5" w:themeFillTint="32"/>
            <w:vAlign w:val="center"/>
          </w:tcPr>
          <w:p w14:paraId="219951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优化方案</w:t>
            </w:r>
          </w:p>
        </w:tc>
        <w:tc>
          <w:tcPr>
            <w:tcW w:w="2133" w:type="dxa"/>
            <w:shd w:val="clear" w:color="auto" w:fill="D4F4F1" w:themeFill="accent5" w:themeFillTint="32"/>
            <w:vAlign w:val="center"/>
          </w:tcPr>
          <w:p w14:paraId="38737F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预期效果</w:t>
            </w:r>
          </w:p>
        </w:tc>
        <w:tc>
          <w:tcPr>
            <w:tcW w:w="1048" w:type="dxa"/>
            <w:shd w:val="clear" w:color="auto" w:fill="D4F4F1" w:themeFill="accent5" w:themeFillTint="32"/>
            <w:vAlign w:val="center"/>
          </w:tcPr>
          <w:p w14:paraId="41D43A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优先级</w:t>
            </w:r>
          </w:p>
        </w:tc>
      </w:tr>
      <w:tr w14:paraId="1BDCAE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15" w:type="dxa"/>
            <w:vAlign w:val="center"/>
          </w:tcPr>
          <w:p w14:paraId="735769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后期关卡随机性强</w:t>
            </w:r>
          </w:p>
        </w:tc>
        <w:tc>
          <w:tcPr>
            <w:tcW w:w="3026" w:type="dxa"/>
            <w:vAlign w:val="center"/>
          </w:tcPr>
          <w:p w14:paraId="68D756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增加弱保底开局机制：连续失败多次后，提供至少存在可规划特效路径的初始盘面。</w:t>
            </w:r>
          </w:p>
        </w:tc>
        <w:tc>
          <w:tcPr>
            <w:tcW w:w="2133" w:type="dxa"/>
            <w:vAlign w:val="center"/>
          </w:tcPr>
          <w:p w14:paraId="4E4061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减少刷开局感，提升可解性和复盘感。</w:t>
            </w:r>
          </w:p>
        </w:tc>
        <w:tc>
          <w:tcPr>
            <w:tcW w:w="1048" w:type="dxa"/>
            <w:vAlign w:val="center"/>
          </w:tcPr>
          <w:p w14:paraId="38D574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高</w:t>
            </w:r>
          </w:p>
        </w:tc>
      </w:tr>
      <w:tr w14:paraId="4DAD2F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15" w:type="dxa"/>
            <w:vAlign w:val="center"/>
          </w:tcPr>
          <w:p w14:paraId="291B83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三星评分不透明</w:t>
            </w:r>
          </w:p>
        </w:tc>
        <w:tc>
          <w:tcPr>
            <w:tcW w:w="3026" w:type="dxa"/>
            <w:vAlign w:val="center"/>
          </w:tcPr>
          <w:p w14:paraId="35DBC2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结算界面增加分项得分：剩余步数、连消、特效、目标效率、障碍清除。</w:t>
            </w:r>
          </w:p>
        </w:tc>
        <w:tc>
          <w:tcPr>
            <w:tcW w:w="2133" w:type="dxa"/>
            <w:vAlign w:val="center"/>
          </w:tcPr>
          <w:p w14:paraId="473DC6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提高补星动机，让玩家知道如何优化。</w:t>
            </w:r>
          </w:p>
        </w:tc>
        <w:tc>
          <w:tcPr>
            <w:tcW w:w="1048" w:type="dxa"/>
            <w:vAlign w:val="center"/>
          </w:tcPr>
          <w:p w14:paraId="4F2527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高</w:t>
            </w:r>
          </w:p>
        </w:tc>
      </w:tr>
      <w:tr w14:paraId="100FED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15" w:type="dxa"/>
            <w:vAlign w:val="center"/>
          </w:tcPr>
          <w:p w14:paraId="7C17AD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成就过程无感</w:t>
            </w:r>
          </w:p>
        </w:tc>
        <w:tc>
          <w:tcPr>
            <w:tcW w:w="3026" w:type="dxa"/>
            <w:vAlign w:val="center"/>
          </w:tcPr>
          <w:p w14:paraId="0E7189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成就拆成阶段里程碑，显示百分比和下一阶段奖励。</w:t>
            </w:r>
          </w:p>
        </w:tc>
        <w:tc>
          <w:tcPr>
            <w:tcW w:w="2133" w:type="dxa"/>
            <w:vAlign w:val="center"/>
          </w:tcPr>
          <w:p w14:paraId="7CF423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把长期目标转化为短期可感知进度。</w:t>
            </w:r>
          </w:p>
        </w:tc>
        <w:tc>
          <w:tcPr>
            <w:tcW w:w="1048" w:type="dxa"/>
            <w:vAlign w:val="center"/>
          </w:tcPr>
          <w:p w14:paraId="03F17D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中高</w:t>
            </w:r>
          </w:p>
        </w:tc>
      </w:tr>
      <w:tr w14:paraId="756101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15" w:type="dxa"/>
            <w:vAlign w:val="center"/>
          </w:tcPr>
          <w:p w14:paraId="7508FE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卡关时体力挫败强</w:t>
            </w:r>
          </w:p>
        </w:tc>
        <w:tc>
          <w:tcPr>
            <w:tcW w:w="3026" w:type="dxa"/>
            <w:vAlign w:val="center"/>
          </w:tcPr>
          <w:p w14:paraId="4FE479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连续失败后给予一次低成本继续尝试机会，如限时补给、好友求助提醒或活动券。</w:t>
            </w:r>
          </w:p>
        </w:tc>
        <w:tc>
          <w:tcPr>
            <w:tcW w:w="2133" w:type="dxa"/>
            <w:vAlign w:val="center"/>
          </w:tcPr>
          <w:p w14:paraId="3C8EBA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降低体力中断带来的流失。</w:t>
            </w:r>
          </w:p>
        </w:tc>
        <w:tc>
          <w:tcPr>
            <w:tcW w:w="1048" w:type="dxa"/>
            <w:vAlign w:val="center"/>
          </w:tcPr>
          <w:p w14:paraId="57C7F7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中高</w:t>
            </w:r>
          </w:p>
        </w:tc>
      </w:tr>
      <w:tr w14:paraId="40BE67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15" w:type="dxa"/>
            <w:vAlign w:val="center"/>
          </w:tcPr>
          <w:p w14:paraId="6CA07E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角色IP局内利用不足</w:t>
            </w:r>
          </w:p>
        </w:tc>
        <w:tc>
          <w:tcPr>
            <w:tcW w:w="3026" w:type="dxa"/>
            <w:vAlign w:val="center"/>
          </w:tcPr>
          <w:p w14:paraId="069C4C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为六种动物增加轻量任务线，如指定颜色消除、角色主题关、头像/表情奖励。</w:t>
            </w:r>
          </w:p>
        </w:tc>
        <w:tc>
          <w:tcPr>
            <w:tcW w:w="2133" w:type="dxa"/>
            <w:vAlign w:val="center"/>
          </w:tcPr>
          <w:p w14:paraId="7885B9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增强情感连接，不破坏主玩法。</w:t>
            </w:r>
          </w:p>
        </w:tc>
        <w:tc>
          <w:tcPr>
            <w:tcW w:w="1048" w:type="dxa"/>
            <w:vAlign w:val="center"/>
          </w:tcPr>
          <w:p w14:paraId="7AE6E5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中</w:t>
            </w:r>
          </w:p>
        </w:tc>
      </w:tr>
      <w:tr w14:paraId="798401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15" w:type="dxa"/>
            <w:vAlign w:val="center"/>
          </w:tcPr>
          <w:p w14:paraId="4A9B76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活动入口过多</w:t>
            </w:r>
          </w:p>
        </w:tc>
        <w:tc>
          <w:tcPr>
            <w:tcW w:w="3026" w:type="dxa"/>
            <w:vAlign w:val="center"/>
          </w:tcPr>
          <w:p w14:paraId="25CA9D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按“闯关、奖励、社交、限时活动”重组入口，减少重复弹窗。</w:t>
            </w:r>
          </w:p>
        </w:tc>
        <w:tc>
          <w:tcPr>
            <w:tcW w:w="2133" w:type="dxa"/>
            <w:vAlign w:val="center"/>
          </w:tcPr>
          <w:p w14:paraId="35430B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降低回流玩家理解成本。</w:t>
            </w:r>
          </w:p>
        </w:tc>
        <w:tc>
          <w:tcPr>
            <w:tcW w:w="1048" w:type="dxa"/>
            <w:vAlign w:val="center"/>
          </w:tcPr>
          <w:p w14:paraId="0E31C4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中</w:t>
            </w:r>
          </w:p>
        </w:tc>
      </w:tr>
      <w:tr w14:paraId="5E2651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15" w:type="dxa"/>
            <w:vAlign w:val="center"/>
          </w:tcPr>
          <w:p w14:paraId="227E62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低端设备体验风险</w:t>
            </w:r>
          </w:p>
        </w:tc>
        <w:tc>
          <w:tcPr>
            <w:tcW w:w="3026" w:type="dxa"/>
            <w:vAlign w:val="center"/>
          </w:tcPr>
          <w:p w14:paraId="474D07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增加低画质模式，关闭部分粒子、降低同时播放特效数量。</w:t>
            </w:r>
          </w:p>
        </w:tc>
        <w:tc>
          <w:tcPr>
            <w:tcW w:w="2133" w:type="dxa"/>
            <w:vAlign w:val="center"/>
          </w:tcPr>
          <w:p w14:paraId="0B22C4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提升老旧机型流畅度，减少休闲场景流失。</w:t>
            </w:r>
          </w:p>
        </w:tc>
        <w:tc>
          <w:tcPr>
            <w:tcW w:w="1048" w:type="dxa"/>
            <w:vAlign w:val="center"/>
          </w:tcPr>
          <w:p w14:paraId="7F9F48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中</w:t>
            </w:r>
          </w:p>
        </w:tc>
      </w:tr>
    </w:tbl>
    <w:p w14:paraId="15FCC772">
      <w:pPr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7360665B">
      <w:pPr>
        <w:ind w:firstLine="420" w:firstLineChars="200"/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总的来说</w:t>
      </w: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t>，优先级最高的不是增加新玩法，而是改善高关卡“可解性”和结算反馈。因为这两个问题直接影响玩家对公平性、策略性和继续挑战意愿的判断。</w:t>
      </w:r>
    </w:p>
    <w:p w14:paraId="60F1A996">
      <w:pPr>
        <w:ind w:firstLine="420" w:firstLineChars="200"/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433AAA06">
      <w:pPr>
        <w:jc w:val="both"/>
      </w:pPr>
      <w:r>
        <w:drawing>
          <wp:inline distT="0" distB="0" distL="114300" distR="114300">
            <wp:extent cx="5266690" cy="3950335"/>
            <wp:effectExtent l="0" t="0" r="10160" b="12065"/>
            <wp:docPr id="54" name="图片 54" descr="4dad5a90e559622dd948c31697c4e0b8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4dad5a90e559622dd948c31697c4e0b8_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EF315">
      <w:pPr>
        <w:jc w:val="both"/>
        <w:rPr>
          <w:rFonts w:hint="default"/>
          <w:lang w:val="en-US" w:eastAsia="zh-CN"/>
        </w:rPr>
      </w:pPr>
    </w:p>
    <w:p w14:paraId="648900B9">
      <w:pPr>
        <w:pStyle w:val="3"/>
        <w:bidi w:val="0"/>
        <w:rPr>
          <w:rFonts w:hint="eastAsia"/>
          <w:lang w:val="en-US" w:eastAsia="zh-CN"/>
        </w:rPr>
      </w:pPr>
      <w:bookmarkStart w:id="21" w:name="_Toc20279"/>
      <w:r>
        <w:rPr>
          <w:rFonts w:hint="eastAsia"/>
          <w:lang w:val="en-US" w:eastAsia="zh-CN"/>
        </w:rPr>
        <w:t>4.6竞品分析</w:t>
      </w:r>
      <w:bookmarkEnd w:id="21"/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2"/>
        <w:gridCol w:w="1856"/>
        <w:gridCol w:w="1704"/>
        <w:gridCol w:w="1705"/>
        <w:gridCol w:w="1705"/>
      </w:tblGrid>
      <w:tr w14:paraId="44708E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2" w:type="dxa"/>
            <w:shd w:val="clear" w:color="auto" w:fill="D4F4F1" w:themeFill="accent5" w:themeFillTint="32"/>
            <w:vAlign w:val="center"/>
          </w:tcPr>
          <w:p w14:paraId="35ED42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维度</w:t>
            </w:r>
          </w:p>
        </w:tc>
        <w:tc>
          <w:tcPr>
            <w:tcW w:w="1856" w:type="dxa"/>
            <w:vAlign w:val="center"/>
          </w:tcPr>
          <w:p w14:paraId="60E67A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630555" cy="630555"/>
                  <wp:effectExtent l="0" t="0" r="17145" b="17145"/>
                  <wp:docPr id="6" name="图片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555" cy="630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D78E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开心消消乐</w:t>
            </w:r>
          </w:p>
        </w:tc>
        <w:tc>
          <w:tcPr>
            <w:tcW w:w="1704" w:type="dxa"/>
            <w:vAlign w:val="center"/>
          </w:tcPr>
          <w:p w14:paraId="2F1C95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645160" cy="645160"/>
                  <wp:effectExtent l="0" t="0" r="2540" b="2540"/>
                  <wp:docPr id="7" name="图片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160" cy="645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4FB4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宾果消消消</w:t>
            </w:r>
          </w:p>
        </w:tc>
        <w:tc>
          <w:tcPr>
            <w:tcW w:w="1705" w:type="dxa"/>
            <w:vAlign w:val="center"/>
          </w:tcPr>
          <w:p w14:paraId="551A25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644525" cy="644525"/>
                  <wp:effectExtent l="0" t="0" r="3175" b="3175"/>
                  <wp:docPr id="12" name="图片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525" cy="64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AE1E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海滨消消乐</w:t>
            </w:r>
          </w:p>
        </w:tc>
        <w:tc>
          <w:tcPr>
            <w:tcW w:w="1705" w:type="dxa"/>
            <w:vAlign w:val="center"/>
          </w:tcPr>
          <w:p w14:paraId="0653F4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645160" cy="645160"/>
                  <wp:effectExtent l="0" t="0" r="2540" b="2540"/>
                  <wp:docPr id="13" name="图片 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160" cy="645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BBF4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天天爱消除</w:t>
            </w:r>
          </w:p>
        </w:tc>
      </w:tr>
      <w:tr w14:paraId="646315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2" w:type="dxa"/>
            <w:shd w:val="clear" w:color="auto" w:fill="D4F4F1" w:themeFill="accent5" w:themeFillTint="32"/>
            <w:vAlign w:val="center"/>
          </w:tcPr>
          <w:p w14:paraId="1178C63D">
            <w:pPr>
              <w:spacing w:after="0" w:line="269" w:lineRule="auto"/>
              <w:jc w:val="center"/>
              <w:rPr>
                <w:rFonts w:hint="default" w:ascii="宋体" w:hAnsi="宋体" w:eastAsia="宋体" w:cs="宋体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/>
                <w:b/>
                <w:bCs/>
                <w:sz w:val="18"/>
              </w:rPr>
              <w:t>开发商</w:t>
            </w:r>
          </w:p>
        </w:tc>
        <w:tc>
          <w:tcPr>
            <w:tcW w:w="1856" w:type="dxa"/>
            <w:vAlign w:val="center"/>
          </w:tcPr>
          <w:p w14:paraId="7F15AFDF">
            <w:pPr>
              <w:spacing w:after="0" w:line="269" w:lineRule="auto"/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/>
                <w:b w:val="0"/>
                <w:sz w:val="18"/>
              </w:rPr>
              <w:t>乐元素</w:t>
            </w:r>
          </w:p>
        </w:tc>
        <w:tc>
          <w:tcPr>
            <w:tcW w:w="1704" w:type="dxa"/>
            <w:vAlign w:val="center"/>
          </w:tcPr>
          <w:p w14:paraId="1A55C76E">
            <w:pPr>
              <w:spacing w:after="0" w:line="269" w:lineRule="auto"/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/>
                <w:b w:val="0"/>
                <w:sz w:val="18"/>
              </w:rPr>
              <w:t>柠檬微趣</w:t>
            </w:r>
          </w:p>
        </w:tc>
        <w:tc>
          <w:tcPr>
            <w:tcW w:w="1705" w:type="dxa"/>
            <w:vAlign w:val="center"/>
          </w:tcPr>
          <w:p w14:paraId="6C3B25E9">
            <w:pPr>
              <w:spacing w:after="0" w:line="269" w:lineRule="auto"/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/>
                <w:b w:val="0"/>
                <w:sz w:val="18"/>
              </w:rPr>
              <w:t>乐元素</w:t>
            </w:r>
          </w:p>
        </w:tc>
        <w:tc>
          <w:tcPr>
            <w:tcW w:w="1705" w:type="dxa"/>
            <w:vAlign w:val="center"/>
          </w:tcPr>
          <w:p w14:paraId="444FC2FE">
            <w:pPr>
              <w:spacing w:after="0" w:line="269" w:lineRule="auto"/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/>
                <w:b w:val="0"/>
                <w:sz w:val="18"/>
              </w:rPr>
              <w:t>腾讯</w:t>
            </w:r>
          </w:p>
        </w:tc>
      </w:tr>
      <w:tr w14:paraId="4B8113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2" w:type="dxa"/>
            <w:shd w:val="clear" w:color="auto" w:fill="D4F4F1" w:themeFill="accent5" w:themeFillTint="32"/>
            <w:vAlign w:val="center"/>
          </w:tcPr>
          <w:p w14:paraId="2C902836">
            <w:pPr>
              <w:spacing w:after="0" w:line="269" w:lineRule="auto"/>
              <w:jc w:val="center"/>
              <w:rPr>
                <w:rFonts w:hint="default" w:ascii="宋体" w:hAnsi="宋体" w:eastAsia="宋体" w:cs="宋体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/>
                <w:b/>
                <w:bCs/>
                <w:sz w:val="18"/>
              </w:rPr>
              <w:t>产品定位</w:t>
            </w:r>
          </w:p>
        </w:tc>
        <w:tc>
          <w:tcPr>
            <w:tcW w:w="1856" w:type="dxa"/>
            <w:vAlign w:val="center"/>
          </w:tcPr>
          <w:p w14:paraId="23382798">
            <w:pPr>
              <w:spacing w:after="0" w:line="269" w:lineRule="auto"/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/>
                <w:b w:val="0"/>
                <w:sz w:val="18"/>
              </w:rPr>
              <w:t>经典关卡导向三消</w:t>
            </w:r>
          </w:p>
        </w:tc>
        <w:tc>
          <w:tcPr>
            <w:tcW w:w="1704" w:type="dxa"/>
            <w:vAlign w:val="center"/>
          </w:tcPr>
          <w:p w14:paraId="74CED4D2">
            <w:pPr>
              <w:spacing w:after="0" w:line="269" w:lineRule="auto"/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/>
                <w:b w:val="0"/>
                <w:sz w:val="18"/>
              </w:rPr>
              <w:t>三消+家园/经营包装</w:t>
            </w:r>
          </w:p>
        </w:tc>
        <w:tc>
          <w:tcPr>
            <w:tcW w:w="1705" w:type="dxa"/>
            <w:vAlign w:val="center"/>
          </w:tcPr>
          <w:p w14:paraId="362378B9">
            <w:pPr>
              <w:spacing w:after="0" w:line="269" w:lineRule="auto"/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/>
                <w:b w:val="0"/>
                <w:sz w:val="18"/>
              </w:rPr>
              <w:t>主题化轻三消</w:t>
            </w:r>
          </w:p>
        </w:tc>
        <w:tc>
          <w:tcPr>
            <w:tcW w:w="1705" w:type="dxa"/>
            <w:vAlign w:val="center"/>
          </w:tcPr>
          <w:p w14:paraId="119E5A7F">
            <w:pPr>
              <w:spacing w:after="0" w:line="269" w:lineRule="auto"/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/>
                <w:b w:val="0"/>
                <w:sz w:val="18"/>
              </w:rPr>
              <w:t>三消</w:t>
            </w:r>
            <w:bookmarkStart w:id="22" w:name="_GoBack"/>
            <w:bookmarkEnd w:id="22"/>
            <w:r>
              <w:rPr>
                <w:rFonts w:ascii="宋体" w:hAnsi="宋体" w:eastAsia="宋体"/>
                <w:b w:val="0"/>
                <w:sz w:val="18"/>
              </w:rPr>
              <w:t>+强社交入口</w:t>
            </w:r>
          </w:p>
        </w:tc>
      </w:tr>
      <w:tr w14:paraId="733A13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2" w:type="dxa"/>
            <w:shd w:val="clear" w:color="auto" w:fill="D4F4F1" w:themeFill="accent5" w:themeFillTint="32"/>
            <w:vAlign w:val="center"/>
          </w:tcPr>
          <w:p w14:paraId="1AAC57F3">
            <w:pPr>
              <w:spacing w:after="0" w:line="269" w:lineRule="auto"/>
              <w:jc w:val="center"/>
              <w:rPr>
                <w:rFonts w:hint="default" w:ascii="宋体" w:hAnsi="宋体" w:eastAsia="宋体" w:cs="宋体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/>
                <w:b/>
                <w:bCs/>
                <w:sz w:val="18"/>
              </w:rPr>
              <w:t>核心特征</w:t>
            </w:r>
          </w:p>
        </w:tc>
        <w:tc>
          <w:tcPr>
            <w:tcW w:w="1856" w:type="dxa"/>
            <w:vAlign w:val="center"/>
          </w:tcPr>
          <w:p w14:paraId="6D0ABC6B">
            <w:pPr>
              <w:spacing w:after="0" w:line="269" w:lineRule="auto"/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/>
                <w:b w:val="0"/>
                <w:sz w:val="18"/>
              </w:rPr>
              <w:t>玩法专注，关卡供给强</w:t>
            </w:r>
          </w:p>
        </w:tc>
        <w:tc>
          <w:tcPr>
            <w:tcW w:w="1704" w:type="dxa"/>
            <w:vAlign w:val="center"/>
          </w:tcPr>
          <w:p w14:paraId="494B68BB">
            <w:pPr>
              <w:spacing w:after="0" w:line="269" w:lineRule="auto"/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/>
                <w:b w:val="0"/>
                <w:sz w:val="18"/>
              </w:rPr>
              <w:t>外围成长目标更明显</w:t>
            </w:r>
          </w:p>
        </w:tc>
        <w:tc>
          <w:tcPr>
            <w:tcW w:w="1705" w:type="dxa"/>
            <w:vAlign w:val="center"/>
          </w:tcPr>
          <w:p w14:paraId="33C09D6C">
            <w:pPr>
              <w:spacing w:after="0" w:line="269" w:lineRule="auto"/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/>
                <w:b w:val="0"/>
                <w:sz w:val="18"/>
              </w:rPr>
              <w:t>题材差异化，氛围较轻</w:t>
            </w:r>
          </w:p>
        </w:tc>
        <w:tc>
          <w:tcPr>
            <w:tcW w:w="1705" w:type="dxa"/>
            <w:vAlign w:val="center"/>
          </w:tcPr>
          <w:p w14:paraId="3DDF1987">
            <w:pPr>
              <w:spacing w:after="0" w:line="269" w:lineRule="auto"/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/>
                <w:b w:val="0"/>
                <w:sz w:val="18"/>
              </w:rPr>
              <w:t>依托社交关系链，传播强</w:t>
            </w:r>
          </w:p>
        </w:tc>
      </w:tr>
      <w:tr w14:paraId="7C98BB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2" w:type="dxa"/>
            <w:shd w:val="clear" w:color="auto" w:fill="D4F4F1" w:themeFill="accent5" w:themeFillTint="32"/>
            <w:vAlign w:val="center"/>
          </w:tcPr>
          <w:p w14:paraId="67DA41E2">
            <w:pPr>
              <w:spacing w:after="0" w:line="269" w:lineRule="auto"/>
              <w:jc w:val="center"/>
              <w:rPr>
                <w:rFonts w:hint="default" w:ascii="宋体" w:hAnsi="宋体" w:eastAsia="宋体" w:cs="宋体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/>
                <w:b/>
                <w:bCs/>
                <w:sz w:val="18"/>
              </w:rPr>
              <w:t>社交系统</w:t>
            </w:r>
          </w:p>
        </w:tc>
        <w:tc>
          <w:tcPr>
            <w:tcW w:w="1856" w:type="dxa"/>
            <w:vAlign w:val="center"/>
          </w:tcPr>
          <w:p w14:paraId="1D1C3CA9">
            <w:pPr>
              <w:spacing w:after="0" w:line="269" w:lineRule="auto"/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/>
                <w:b w:val="0"/>
                <w:sz w:val="18"/>
              </w:rPr>
              <w:t>轻社交，互助为主</w:t>
            </w:r>
          </w:p>
        </w:tc>
        <w:tc>
          <w:tcPr>
            <w:tcW w:w="1704" w:type="dxa"/>
            <w:vAlign w:val="center"/>
          </w:tcPr>
          <w:p w14:paraId="292627C1">
            <w:pPr>
              <w:spacing w:after="0" w:line="269" w:lineRule="auto"/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/>
                <w:b w:val="0"/>
                <w:sz w:val="18"/>
              </w:rPr>
              <w:t>偏弱社交</w:t>
            </w:r>
          </w:p>
        </w:tc>
        <w:tc>
          <w:tcPr>
            <w:tcW w:w="1705" w:type="dxa"/>
            <w:vAlign w:val="center"/>
          </w:tcPr>
          <w:p w14:paraId="0A852919">
            <w:pPr>
              <w:spacing w:after="0" w:line="269" w:lineRule="auto"/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/>
                <w:b w:val="0"/>
                <w:sz w:val="18"/>
              </w:rPr>
              <w:t>社交存在但不突出</w:t>
            </w:r>
          </w:p>
        </w:tc>
        <w:tc>
          <w:tcPr>
            <w:tcW w:w="1705" w:type="dxa"/>
            <w:vAlign w:val="center"/>
          </w:tcPr>
          <w:p w14:paraId="7BD1CBC6">
            <w:pPr>
              <w:spacing w:after="0" w:line="269" w:lineRule="auto"/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/>
                <w:b w:val="0"/>
                <w:sz w:val="18"/>
              </w:rPr>
              <w:t>好友榜、互动与实时感更强</w:t>
            </w:r>
          </w:p>
        </w:tc>
      </w:tr>
      <w:tr w14:paraId="6D89CA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2" w:type="dxa"/>
            <w:shd w:val="clear" w:color="auto" w:fill="D4F4F1" w:themeFill="accent5" w:themeFillTint="32"/>
            <w:vAlign w:val="center"/>
          </w:tcPr>
          <w:p w14:paraId="02A6663F">
            <w:pPr>
              <w:spacing w:after="0" w:line="269" w:lineRule="auto"/>
              <w:jc w:val="center"/>
              <w:rPr>
                <w:rFonts w:hint="default" w:ascii="宋体" w:hAnsi="宋体" w:eastAsia="宋体" w:cs="宋体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/>
                <w:b/>
                <w:bCs/>
                <w:sz w:val="18"/>
              </w:rPr>
              <w:t>商业化风格</w:t>
            </w:r>
          </w:p>
        </w:tc>
        <w:tc>
          <w:tcPr>
            <w:tcW w:w="1856" w:type="dxa"/>
            <w:vAlign w:val="center"/>
          </w:tcPr>
          <w:p w14:paraId="1C4E6C34">
            <w:pPr>
              <w:spacing w:after="0" w:line="269" w:lineRule="auto"/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/>
                <w:b w:val="0"/>
                <w:sz w:val="18"/>
              </w:rPr>
              <w:t>效率型混合变现</w:t>
            </w:r>
          </w:p>
        </w:tc>
        <w:tc>
          <w:tcPr>
            <w:tcW w:w="1704" w:type="dxa"/>
            <w:vAlign w:val="center"/>
          </w:tcPr>
          <w:p w14:paraId="46F4ACB0">
            <w:pPr>
              <w:spacing w:after="0" w:line="269" w:lineRule="auto"/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/>
                <w:b w:val="0"/>
                <w:sz w:val="18"/>
              </w:rPr>
              <w:t>外围目标承接变现较强</w:t>
            </w:r>
          </w:p>
        </w:tc>
        <w:tc>
          <w:tcPr>
            <w:tcW w:w="1705" w:type="dxa"/>
            <w:vAlign w:val="center"/>
          </w:tcPr>
          <w:p w14:paraId="377E5185">
            <w:pPr>
              <w:spacing w:after="0" w:line="269" w:lineRule="auto"/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/>
                <w:b w:val="0"/>
                <w:sz w:val="18"/>
              </w:rPr>
              <w:t>整体相对温和</w:t>
            </w:r>
          </w:p>
        </w:tc>
        <w:tc>
          <w:tcPr>
            <w:tcW w:w="1705" w:type="dxa"/>
            <w:vAlign w:val="center"/>
          </w:tcPr>
          <w:p w14:paraId="69ADB384">
            <w:pPr>
              <w:spacing w:after="0" w:line="269" w:lineRule="auto"/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/>
                <w:b w:val="0"/>
                <w:sz w:val="18"/>
              </w:rPr>
              <w:t>依托平台生态做混合变现</w:t>
            </w:r>
          </w:p>
        </w:tc>
      </w:tr>
      <w:tr w14:paraId="4D5CDC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2" w:type="dxa"/>
            <w:shd w:val="clear" w:color="auto" w:fill="D4F4F1" w:themeFill="accent5" w:themeFillTint="32"/>
            <w:vAlign w:val="center"/>
          </w:tcPr>
          <w:p w14:paraId="45A2A7C5">
            <w:pPr>
              <w:spacing w:after="0" w:line="269" w:lineRule="auto"/>
              <w:jc w:val="center"/>
              <w:rPr>
                <w:rFonts w:hint="default" w:ascii="宋体" w:hAnsi="宋体" w:eastAsia="宋体" w:cs="宋体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/>
                <w:b/>
                <w:bCs/>
                <w:sz w:val="18"/>
              </w:rPr>
              <w:t>差异化位置</w:t>
            </w:r>
          </w:p>
        </w:tc>
        <w:tc>
          <w:tcPr>
            <w:tcW w:w="1856" w:type="dxa"/>
            <w:vAlign w:val="center"/>
          </w:tcPr>
          <w:p w14:paraId="246E3CB1">
            <w:pPr>
              <w:spacing w:after="0" w:line="269" w:lineRule="auto"/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/>
                <w:b w:val="0"/>
                <w:sz w:val="18"/>
              </w:rPr>
              <w:t>长期耐玩的经典消除产品</w:t>
            </w:r>
          </w:p>
        </w:tc>
        <w:tc>
          <w:tcPr>
            <w:tcW w:w="1704" w:type="dxa"/>
            <w:vAlign w:val="center"/>
          </w:tcPr>
          <w:p w14:paraId="536804DC">
            <w:pPr>
              <w:spacing w:after="0" w:line="269" w:lineRule="auto"/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/>
                <w:b w:val="0"/>
                <w:sz w:val="18"/>
              </w:rPr>
              <w:t>更强调“消除外目标”</w:t>
            </w:r>
          </w:p>
        </w:tc>
        <w:tc>
          <w:tcPr>
            <w:tcW w:w="1705" w:type="dxa"/>
            <w:vAlign w:val="center"/>
          </w:tcPr>
          <w:p w14:paraId="6D508CAC">
            <w:pPr>
              <w:spacing w:after="0" w:line="269" w:lineRule="auto"/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/>
                <w:b w:val="0"/>
                <w:sz w:val="18"/>
              </w:rPr>
              <w:t>主题包装型休闲产品</w:t>
            </w:r>
          </w:p>
        </w:tc>
        <w:tc>
          <w:tcPr>
            <w:tcW w:w="1705" w:type="dxa"/>
            <w:vAlign w:val="center"/>
          </w:tcPr>
          <w:p w14:paraId="6BA9C52B">
            <w:pPr>
              <w:spacing w:after="0" w:line="269" w:lineRule="auto"/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/>
                <w:b w:val="0"/>
                <w:sz w:val="18"/>
              </w:rPr>
              <w:t>强社交驱动的消除产品</w:t>
            </w:r>
          </w:p>
        </w:tc>
      </w:tr>
    </w:tbl>
    <w:p w14:paraId="34E8520F">
      <w:pPr>
        <w:jc w:val="both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 w14:paraId="69D6E749">
      <w:pPr>
        <w:jc w:val="both"/>
        <w:rPr>
          <w:rFonts w:hint="eastAsia" w:ascii="宋体" w:hAnsi="宋体" w:cs="宋体" w:eastAsiaTheme="minorEastAsia"/>
          <w:b/>
          <w:bCs/>
          <w:sz w:val="21"/>
          <w:szCs w:val="21"/>
          <w:lang w:val="en-US" w:eastAsia="zh-CN"/>
        </w:rPr>
      </w:pPr>
      <w:r>
        <w:rPr>
          <w:rFonts w:hint="eastAsia"/>
          <w:lang w:val="en-US" w:eastAsia="zh-CN"/>
        </w:rPr>
        <w:t xml:space="preserve">           </w:t>
      </w:r>
      <w:r>
        <w:rPr>
          <w:rFonts w:hint="eastAsia" w:ascii="宋体" w:hAnsi="宋体" w:cs="宋体" w:eastAsiaTheme="minorEastAsia"/>
          <w:b/>
          <w:bCs/>
          <w:sz w:val="21"/>
          <w:szCs w:val="21"/>
          <w:lang w:val="en-US" w:eastAsia="zh-CN"/>
        </w:rPr>
        <w:drawing>
          <wp:inline distT="0" distB="0" distL="114300" distR="114300">
            <wp:extent cx="4392295" cy="4392295"/>
            <wp:effectExtent l="0" t="0" r="8255" b="8255"/>
            <wp:docPr id="55" name="图片 55" descr="ca1b8e634327df3f1a79437917adc085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ca1b8e634327df3f1a79437917adc085_0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392295" cy="43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332E9">
      <w:pPr>
        <w:jc w:val="both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1、游戏玩法</w:t>
      </w:r>
    </w:p>
    <w:p w14:paraId="40B81958">
      <w:p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四款产品在玩法迭代上大致走出两条路径。《开心消消乐》更偏“玩法专注”，核心资源投入在关卡内容供给与难度打磨；而部分竞品会在三消之外叠加家园、经营、养成或更强的外围目标。</w:t>
      </w:r>
    </w:p>
    <w:p w14:paraId="02E2EF37">
      <w:p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这两种路径的差异在于：前者依靠消除内容本身留住玩家，后者依靠外围目标带动通关。前者更纯粹，也更依赖内容生产与难度控制；后者更容易制造短期目标，但也更容易出现“外层目标消耗完后，主玩法驱动力下降”的问题。</w:t>
      </w:r>
    </w:p>
    <w:p w14:paraId="1EEA414A">
      <w:pPr>
        <w:jc w:val="both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2、社交系统</w:t>
      </w:r>
    </w:p>
    <w:p w14:paraId="6160A0B5">
      <w:p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《天天爱消除》依托平台关系链，天生具备更强社交属性；《开心消消乐》则走“轻社交”路线，好友送心、求助和排名都是可选项，既能缓解卡关，又不制造强绑定压力。这种克制的社交强度，更符合休闲用户的使用习惯。</w:t>
      </w:r>
    </w:p>
    <w:p w14:paraId="67EA71D9">
      <w:pPr>
        <w:jc w:val="both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3、商业化策略</w:t>
      </w:r>
    </w:p>
    <w:p w14:paraId="641182CD">
      <w:p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几款产品都采用混合变现，但体验侧重点不同。《开心消消乐》更强调免费循环+场景化效率付费，核心挑战在于控制提示频率，避免打断轻松体验；更外围导向的产品则更容易把变现和养成目标捆绑在一起。</w:t>
      </w:r>
    </w:p>
    <w:p w14:paraId="67A00406">
      <w:pPr>
        <w:jc w:val="both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4、《开心消消乐》的突出之处</w:t>
      </w:r>
    </w:p>
    <w:p w14:paraId="46BD1298">
      <w:pPr>
        <w:ind w:firstLine="420" w:firstLineChars="200"/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t>《开心消消乐》的突出之处，在于长期坚持“在正确的位置做减法”：不盲目叠加副玩法，不把轻社交做成强关系负担，也没有用重养成系统挤压主玩法。它把资源持续投入在关卡内容、反馈体验和长期运营上，因此形成了经典三消产品的稳定形态。</w:t>
      </w:r>
    </w:p>
    <w:p w14:paraId="3415F2D9">
      <w:pPr>
        <w:ind w:firstLine="420" w:firstLineChars="200"/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t>《开心消消乐》的差异化定位不是强社交或重包装，而是长期耐玩的经典关卡导向三消。</w:t>
      </w:r>
    </w:p>
    <w:p w14:paraId="441C6A37">
      <w:pPr>
        <w:ind w:firstLine="420" w:firstLineChars="200"/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686AB36C">
      <w:pPr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1A2A885D">
      <w:pPr>
        <w:ind w:firstLine="420" w:firstLineChars="200"/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3CEF9266">
      <w:pPr>
        <w:ind w:firstLine="480" w:firstLineChars="200"/>
        <w:jc w:val="both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5638FE7E">
      <w:pPr>
        <w:jc w:val="both"/>
        <w:rPr>
          <w:rFonts w:hint="default" w:ascii="黑体" w:hAnsi="黑体" w:eastAsia="黑体" w:cs="黑体"/>
          <w:b/>
          <w:bCs/>
          <w:sz w:val="24"/>
          <w:szCs w:val="24"/>
          <w:lang w:val="en-US" w:eastAsia="zh-CN"/>
        </w:rPr>
      </w:pPr>
    </w:p>
    <w:sectPr>
      <w:footerReference r:id="rId4" w:type="default"/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15D409">
    <w:pPr>
      <w:pStyle w:val="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D3D4B1">
    <w:pPr>
      <w:pStyle w:val="5"/>
    </w:pPr>
    <w:r>
      <w:rPr>
        <w:sz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8" name="文本框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BBF050D"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Sb3G8zAgAAYw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NSb3G8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BBF050D"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6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234D69"/>
    <w:rsid w:val="002A025A"/>
    <w:rsid w:val="007A04AE"/>
    <w:rsid w:val="013C2A03"/>
    <w:rsid w:val="01FB2A19"/>
    <w:rsid w:val="02702309"/>
    <w:rsid w:val="03F648CA"/>
    <w:rsid w:val="048E18C7"/>
    <w:rsid w:val="04992D85"/>
    <w:rsid w:val="04F728FB"/>
    <w:rsid w:val="06505230"/>
    <w:rsid w:val="070174DD"/>
    <w:rsid w:val="074333CD"/>
    <w:rsid w:val="082C5AC1"/>
    <w:rsid w:val="08535375"/>
    <w:rsid w:val="09647A04"/>
    <w:rsid w:val="099A3480"/>
    <w:rsid w:val="09D0357E"/>
    <w:rsid w:val="0A005C69"/>
    <w:rsid w:val="0A3845B9"/>
    <w:rsid w:val="0AF72650"/>
    <w:rsid w:val="0B912441"/>
    <w:rsid w:val="0BDD6DE0"/>
    <w:rsid w:val="0C131729"/>
    <w:rsid w:val="0CB23146"/>
    <w:rsid w:val="0D337ABC"/>
    <w:rsid w:val="0DA8310F"/>
    <w:rsid w:val="0DAB1C33"/>
    <w:rsid w:val="0DED492D"/>
    <w:rsid w:val="0F526611"/>
    <w:rsid w:val="0F9A4AEB"/>
    <w:rsid w:val="0FD2532C"/>
    <w:rsid w:val="0FE8289F"/>
    <w:rsid w:val="1004528B"/>
    <w:rsid w:val="102E7A51"/>
    <w:rsid w:val="10965553"/>
    <w:rsid w:val="111652FA"/>
    <w:rsid w:val="11AB0B64"/>
    <w:rsid w:val="11D02F4B"/>
    <w:rsid w:val="134736A6"/>
    <w:rsid w:val="13995C5F"/>
    <w:rsid w:val="141F09C2"/>
    <w:rsid w:val="1487175B"/>
    <w:rsid w:val="14FD28E5"/>
    <w:rsid w:val="156E6EE8"/>
    <w:rsid w:val="157755BF"/>
    <w:rsid w:val="160F5096"/>
    <w:rsid w:val="161C1F83"/>
    <w:rsid w:val="1660217A"/>
    <w:rsid w:val="167C3B41"/>
    <w:rsid w:val="167F4E7B"/>
    <w:rsid w:val="1775752F"/>
    <w:rsid w:val="17CE7E68"/>
    <w:rsid w:val="189E26ED"/>
    <w:rsid w:val="18FE093B"/>
    <w:rsid w:val="18FE2223"/>
    <w:rsid w:val="1B5705A6"/>
    <w:rsid w:val="1B631B1F"/>
    <w:rsid w:val="1B9E5DA3"/>
    <w:rsid w:val="1BA80BA2"/>
    <w:rsid w:val="1BB51A9F"/>
    <w:rsid w:val="1C5703FC"/>
    <w:rsid w:val="1C6447F5"/>
    <w:rsid w:val="1C9911FC"/>
    <w:rsid w:val="1D4666F2"/>
    <w:rsid w:val="1DE763F1"/>
    <w:rsid w:val="1EBE0BCD"/>
    <w:rsid w:val="1F41399C"/>
    <w:rsid w:val="1F69491A"/>
    <w:rsid w:val="1FB04262"/>
    <w:rsid w:val="1FD97D75"/>
    <w:rsid w:val="1FDC6B6C"/>
    <w:rsid w:val="1FEF2D12"/>
    <w:rsid w:val="2044446C"/>
    <w:rsid w:val="215F3A54"/>
    <w:rsid w:val="21B568E3"/>
    <w:rsid w:val="21C72592"/>
    <w:rsid w:val="21D67ABD"/>
    <w:rsid w:val="22B83FA8"/>
    <w:rsid w:val="23A31CB8"/>
    <w:rsid w:val="23C56DC7"/>
    <w:rsid w:val="23E432A9"/>
    <w:rsid w:val="24415F06"/>
    <w:rsid w:val="2473051B"/>
    <w:rsid w:val="24BD1727"/>
    <w:rsid w:val="252E45E3"/>
    <w:rsid w:val="25AD503D"/>
    <w:rsid w:val="25DE670F"/>
    <w:rsid w:val="26082318"/>
    <w:rsid w:val="26F024C3"/>
    <w:rsid w:val="2723539E"/>
    <w:rsid w:val="27A12504"/>
    <w:rsid w:val="27CA0F2F"/>
    <w:rsid w:val="27EA6C47"/>
    <w:rsid w:val="28466D60"/>
    <w:rsid w:val="28D47B5D"/>
    <w:rsid w:val="291B3BEF"/>
    <w:rsid w:val="29806E71"/>
    <w:rsid w:val="298176EF"/>
    <w:rsid w:val="299A6D47"/>
    <w:rsid w:val="29EF1B0B"/>
    <w:rsid w:val="2A517A32"/>
    <w:rsid w:val="2B0E5E8F"/>
    <w:rsid w:val="2B4E6814"/>
    <w:rsid w:val="2B5D334C"/>
    <w:rsid w:val="2B916106"/>
    <w:rsid w:val="2C346088"/>
    <w:rsid w:val="2CA01F31"/>
    <w:rsid w:val="2D460049"/>
    <w:rsid w:val="2D825424"/>
    <w:rsid w:val="2F130972"/>
    <w:rsid w:val="2F166BD9"/>
    <w:rsid w:val="2F910795"/>
    <w:rsid w:val="3098633A"/>
    <w:rsid w:val="30C51A96"/>
    <w:rsid w:val="30E81B43"/>
    <w:rsid w:val="31997D5E"/>
    <w:rsid w:val="319D10D0"/>
    <w:rsid w:val="31AE3202"/>
    <w:rsid w:val="31C02740"/>
    <w:rsid w:val="31D620F9"/>
    <w:rsid w:val="325B3674"/>
    <w:rsid w:val="32BB4BAE"/>
    <w:rsid w:val="32BE0F7A"/>
    <w:rsid w:val="32ED13AC"/>
    <w:rsid w:val="335E5C96"/>
    <w:rsid w:val="33B6236C"/>
    <w:rsid w:val="340957DF"/>
    <w:rsid w:val="34274E80"/>
    <w:rsid w:val="344A1A56"/>
    <w:rsid w:val="346A1BC9"/>
    <w:rsid w:val="348558FB"/>
    <w:rsid w:val="34B10048"/>
    <w:rsid w:val="34BC5799"/>
    <w:rsid w:val="34C376CB"/>
    <w:rsid w:val="35105AEA"/>
    <w:rsid w:val="35DE14DC"/>
    <w:rsid w:val="35F87D2F"/>
    <w:rsid w:val="36472C31"/>
    <w:rsid w:val="36561D92"/>
    <w:rsid w:val="36C84876"/>
    <w:rsid w:val="36D16BD5"/>
    <w:rsid w:val="36E637F4"/>
    <w:rsid w:val="36ED56B8"/>
    <w:rsid w:val="36F7266A"/>
    <w:rsid w:val="37354546"/>
    <w:rsid w:val="37626532"/>
    <w:rsid w:val="377203B8"/>
    <w:rsid w:val="37F62807"/>
    <w:rsid w:val="3837515E"/>
    <w:rsid w:val="38817406"/>
    <w:rsid w:val="39263367"/>
    <w:rsid w:val="3A03405B"/>
    <w:rsid w:val="3A1C5BE3"/>
    <w:rsid w:val="3A1F6A09"/>
    <w:rsid w:val="3A6A7B9A"/>
    <w:rsid w:val="3A866501"/>
    <w:rsid w:val="3B711A97"/>
    <w:rsid w:val="3BE7232B"/>
    <w:rsid w:val="3BF24DEC"/>
    <w:rsid w:val="3C71738B"/>
    <w:rsid w:val="3C7D544D"/>
    <w:rsid w:val="3CCA63BC"/>
    <w:rsid w:val="3D564A37"/>
    <w:rsid w:val="3DF91942"/>
    <w:rsid w:val="3E003F6B"/>
    <w:rsid w:val="3E034029"/>
    <w:rsid w:val="3E8B14C4"/>
    <w:rsid w:val="3EEF7C0F"/>
    <w:rsid w:val="3F4770D6"/>
    <w:rsid w:val="3F8331AC"/>
    <w:rsid w:val="3F85289A"/>
    <w:rsid w:val="3FCD404B"/>
    <w:rsid w:val="4007339F"/>
    <w:rsid w:val="40154958"/>
    <w:rsid w:val="40325B0E"/>
    <w:rsid w:val="40A60475"/>
    <w:rsid w:val="40DD68F5"/>
    <w:rsid w:val="415627B3"/>
    <w:rsid w:val="415820EB"/>
    <w:rsid w:val="4179147D"/>
    <w:rsid w:val="41E2249C"/>
    <w:rsid w:val="425D2E93"/>
    <w:rsid w:val="426F76FD"/>
    <w:rsid w:val="43505326"/>
    <w:rsid w:val="43D50E35"/>
    <w:rsid w:val="444A7FC7"/>
    <w:rsid w:val="44B10126"/>
    <w:rsid w:val="455166AF"/>
    <w:rsid w:val="45654974"/>
    <w:rsid w:val="456964AB"/>
    <w:rsid w:val="45B055C2"/>
    <w:rsid w:val="460F6EE5"/>
    <w:rsid w:val="462C0C7E"/>
    <w:rsid w:val="46377B22"/>
    <w:rsid w:val="47B51910"/>
    <w:rsid w:val="481014FE"/>
    <w:rsid w:val="489F3C9F"/>
    <w:rsid w:val="49323A6F"/>
    <w:rsid w:val="498D4E14"/>
    <w:rsid w:val="49BB4089"/>
    <w:rsid w:val="49CF3C52"/>
    <w:rsid w:val="4AD85755"/>
    <w:rsid w:val="4BC10550"/>
    <w:rsid w:val="4C35599A"/>
    <w:rsid w:val="4C3957B8"/>
    <w:rsid w:val="4C810754"/>
    <w:rsid w:val="4CF425C6"/>
    <w:rsid w:val="4D3D206F"/>
    <w:rsid w:val="4DD74341"/>
    <w:rsid w:val="4E1D2CB6"/>
    <w:rsid w:val="4E955B1C"/>
    <w:rsid w:val="4EB5593F"/>
    <w:rsid w:val="4EE5084A"/>
    <w:rsid w:val="5037029B"/>
    <w:rsid w:val="50D2167C"/>
    <w:rsid w:val="523D7E25"/>
    <w:rsid w:val="53295886"/>
    <w:rsid w:val="53482872"/>
    <w:rsid w:val="54BD7CB7"/>
    <w:rsid w:val="56075D18"/>
    <w:rsid w:val="56105389"/>
    <w:rsid w:val="56210DC4"/>
    <w:rsid w:val="56A60BF9"/>
    <w:rsid w:val="56AA7253"/>
    <w:rsid w:val="5770468E"/>
    <w:rsid w:val="57765E60"/>
    <w:rsid w:val="577B6D05"/>
    <w:rsid w:val="57E2009F"/>
    <w:rsid w:val="58403763"/>
    <w:rsid w:val="589079BC"/>
    <w:rsid w:val="58B034A3"/>
    <w:rsid w:val="58B45B87"/>
    <w:rsid w:val="58C36C22"/>
    <w:rsid w:val="59306EB1"/>
    <w:rsid w:val="5A24564B"/>
    <w:rsid w:val="5ABF328C"/>
    <w:rsid w:val="5B610B55"/>
    <w:rsid w:val="5B6F5735"/>
    <w:rsid w:val="5B721A6C"/>
    <w:rsid w:val="5C5872CD"/>
    <w:rsid w:val="5C665AF3"/>
    <w:rsid w:val="5E3307F9"/>
    <w:rsid w:val="5E770659"/>
    <w:rsid w:val="5F334021"/>
    <w:rsid w:val="5FA242E2"/>
    <w:rsid w:val="5FE01889"/>
    <w:rsid w:val="607C4C3F"/>
    <w:rsid w:val="61B9080E"/>
    <w:rsid w:val="61E44E90"/>
    <w:rsid w:val="641F5987"/>
    <w:rsid w:val="64E807D0"/>
    <w:rsid w:val="64F25DE5"/>
    <w:rsid w:val="66026C41"/>
    <w:rsid w:val="665E4C82"/>
    <w:rsid w:val="666E300F"/>
    <w:rsid w:val="66966ED8"/>
    <w:rsid w:val="66D0744E"/>
    <w:rsid w:val="67654C58"/>
    <w:rsid w:val="678B05A8"/>
    <w:rsid w:val="68607DBB"/>
    <w:rsid w:val="68DF6CF9"/>
    <w:rsid w:val="69274514"/>
    <w:rsid w:val="695E48E4"/>
    <w:rsid w:val="69AE7C89"/>
    <w:rsid w:val="69B30239"/>
    <w:rsid w:val="69BF53B0"/>
    <w:rsid w:val="6A403509"/>
    <w:rsid w:val="6ACC4ABB"/>
    <w:rsid w:val="6AD71D05"/>
    <w:rsid w:val="6C8A0BDE"/>
    <w:rsid w:val="6CAD5473"/>
    <w:rsid w:val="6CC9136F"/>
    <w:rsid w:val="6DD63CFA"/>
    <w:rsid w:val="6DDA280C"/>
    <w:rsid w:val="6EF472F7"/>
    <w:rsid w:val="6F642127"/>
    <w:rsid w:val="6F692729"/>
    <w:rsid w:val="70063367"/>
    <w:rsid w:val="70BB1984"/>
    <w:rsid w:val="70FC1AEA"/>
    <w:rsid w:val="72877BEA"/>
    <w:rsid w:val="72B35F53"/>
    <w:rsid w:val="72E917D5"/>
    <w:rsid w:val="72ED429E"/>
    <w:rsid w:val="737A5923"/>
    <w:rsid w:val="73A40BF2"/>
    <w:rsid w:val="73AF7CBE"/>
    <w:rsid w:val="73C33298"/>
    <w:rsid w:val="74886719"/>
    <w:rsid w:val="754467C0"/>
    <w:rsid w:val="76AF149E"/>
    <w:rsid w:val="76E45ED5"/>
    <w:rsid w:val="777A0C32"/>
    <w:rsid w:val="77836737"/>
    <w:rsid w:val="77952036"/>
    <w:rsid w:val="77A40997"/>
    <w:rsid w:val="781A6563"/>
    <w:rsid w:val="7833202C"/>
    <w:rsid w:val="7843609F"/>
    <w:rsid w:val="78493FEE"/>
    <w:rsid w:val="799369FB"/>
    <w:rsid w:val="79D00956"/>
    <w:rsid w:val="79E226C6"/>
    <w:rsid w:val="7A69730E"/>
    <w:rsid w:val="7AD54AEF"/>
    <w:rsid w:val="7B962C12"/>
    <w:rsid w:val="7C8818BC"/>
    <w:rsid w:val="7CD24804"/>
    <w:rsid w:val="7CDC5B66"/>
    <w:rsid w:val="7D1868D9"/>
    <w:rsid w:val="7EA6709E"/>
    <w:rsid w:val="7F1A0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200" w:after="120"/>
      <w:outlineLvl w:val="0"/>
    </w:pPr>
    <w:rPr>
      <w:rFonts w:asciiTheme="majorHAnsi" w:hAnsiTheme="majorHAnsi" w:eastAsiaTheme="majorEastAsia" w:cstheme="majorBidi"/>
      <w:b/>
      <w:bCs/>
      <w:color w:val="1F4E79"/>
      <w:sz w:val="32"/>
      <w:szCs w:val="28"/>
    </w:rPr>
  </w:style>
  <w:style w:type="paragraph" w:styleId="3">
    <w:name w:val="heading 2"/>
    <w:basedOn w:val="1"/>
    <w:next w:val="1"/>
    <w:unhideWhenUsed/>
    <w:qFormat/>
    <w:uiPriority w:val="0"/>
    <w:pPr>
      <w:spacing w:before="0" w:beforeAutospacing="1" w:after="0" w:afterAutospacing="1"/>
      <w:jc w:val="left"/>
      <w:outlineLvl w:val="1"/>
    </w:pPr>
    <w:rPr>
      <w:rFonts w:hint="eastAsia" w:ascii="宋体" w:hAnsi="宋体" w:eastAsia="宋体" w:cs="宋体"/>
      <w:b/>
      <w:bCs/>
      <w:kern w:val="0"/>
      <w:sz w:val="28"/>
      <w:szCs w:val="36"/>
      <w:lang w:bidi="ar"/>
    </w:rPr>
  </w:style>
  <w:style w:type="paragraph" w:styleId="4">
    <w:name w:val="heading 3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12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unhideWhenUsed/>
    <w:qFormat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6">
    <w:name w:val="header"/>
    <w:basedOn w:val="1"/>
    <w:unhideWhenUsed/>
    <w:qFormat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7">
    <w:name w:val="toc 1"/>
    <w:basedOn w:val="1"/>
    <w:next w:val="1"/>
    <w:qFormat/>
    <w:uiPriority w:val="0"/>
  </w:style>
  <w:style w:type="paragraph" w:styleId="8">
    <w:name w:val="toc 2"/>
    <w:basedOn w:val="1"/>
    <w:next w:val="1"/>
    <w:qFormat/>
    <w:uiPriority w:val="0"/>
    <w:pPr>
      <w:ind w:left="420" w:leftChars="200"/>
    </w:pPr>
  </w:style>
  <w:style w:type="paragraph" w:styleId="9">
    <w:name w:val="Normal (Web)"/>
    <w:basedOn w:val="1"/>
    <w:qFormat/>
    <w:uiPriority w:val="0"/>
    <w:rPr>
      <w:sz w:val="24"/>
    </w:r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paragraph" w:customStyle="1" w:styleId="14">
    <w:name w:val="引用说明"/>
    <w:basedOn w:val="1"/>
    <w:qFormat/>
    <w:uiPriority w:val="0"/>
    <w:pPr>
      <w:spacing w:before="40" w:after="80"/>
      <w:ind w:left="283" w:right="113"/>
    </w:pPr>
    <w:rPr>
      <w:rFonts w:ascii="微软雅黑" w:hAnsi="微软雅黑" w:eastAsia="微软雅黑"/>
      <w:color w:val="595959"/>
      <w:sz w:val="19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9" Type="http://schemas.openxmlformats.org/officeDocument/2006/relationships/fontTable" Target="fontTable.xml"/><Relationship Id="rId48" Type="http://schemas.openxmlformats.org/officeDocument/2006/relationships/customXml" Target="../customXml/item1.xml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2.xml"/><Relationship Id="rId39" Type="http://schemas.openxmlformats.org/officeDocument/2006/relationships/image" Target="media/image34.jpeg"/><Relationship Id="rId38" Type="http://schemas.openxmlformats.org/officeDocument/2006/relationships/image" Target="media/image33.jpeg"/><Relationship Id="rId37" Type="http://schemas.openxmlformats.org/officeDocument/2006/relationships/image" Target="media/image32.jpe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jpeg"/><Relationship Id="rId26" Type="http://schemas.openxmlformats.org/officeDocument/2006/relationships/image" Target="media/image21.png"/><Relationship Id="rId25" Type="http://schemas.openxmlformats.org/officeDocument/2006/relationships/image" Target="media/image20.jpe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jpe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2649</Words>
  <Characters>2716</Characters>
  <Lines>0</Lines>
  <Paragraphs>0</Paragraphs>
  <TotalTime>0</TotalTime>
  <ScaleCrop>false</ScaleCrop>
  <LinksUpToDate>false</LinksUpToDate>
  <CharactersWithSpaces>2903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2026-04-25T09:02:00Z</dcterms:created>
  <dc:creator>Administrator</dc:creator>
  <cp:lastModifiedBy>疏离、</cp:lastModifiedBy>
  <dcterms:modified xsi:type="dcterms:W3CDTF">2026-04-28T13:09:19Z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KSOTemplateDocerSaveRecord">
    <vt:lpwstr>eyJoZGlkIjoiZTc0ZWUwNDY1OWRmOGYzNmU5OTk3YjIzMmZmM2I3MDIiLCJ1c2VySWQiOiIxNTMwMTMxNzM0In0=</vt:lpwstr>
  </property>
  <property fmtid="{D5CDD505-2E9C-101B-9397-08002B2CF9AE}" pid="4" name="ICV">
    <vt:lpwstr>C37AF09CC2864A998AE423AEB7C39CA9_12</vt:lpwstr>
  </property>
</Properties>
</file>